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F5CEB">
      <w:pPr>
        <w:tabs>
          <w:tab w:val="left" w:pos="7468"/>
        </w:tabs>
        <w:spacing w:line="360" w:lineRule="auto"/>
        <w:jc w:val="left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sz w:val="24"/>
        </w:rPr>
        <w:t>附件2：</w:t>
      </w:r>
      <w:bookmarkStart w:id="13" w:name="_GoBack"/>
      <w:bookmarkEnd w:id="13"/>
    </w:p>
    <w:p w14:paraId="71081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河海大学网络学习平台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学习</w:t>
      </w:r>
      <w:r>
        <w:rPr>
          <w:rFonts w:hint="eastAsia" w:ascii="黑体" w:hAnsi="黑体" w:eastAsia="黑体"/>
          <w:b/>
          <w:bCs/>
          <w:sz w:val="32"/>
          <w:szCs w:val="32"/>
        </w:rPr>
        <w:t>操作手册</w:t>
      </w:r>
    </w:p>
    <w:p w14:paraId="333B1EAE">
      <w:pPr>
        <w:pStyle w:val="2"/>
        <w:rPr>
          <w:rFonts w:ascii="宋体" w:hAnsi="宋体" w:eastAsia="宋体" w:cs="宋体"/>
        </w:rPr>
      </w:pPr>
      <w:bookmarkStart w:id="0" w:name="_Toc23768_WPSOffice_Level1"/>
      <w:bookmarkStart w:id="1" w:name="_Toc12605"/>
      <w:r>
        <w:rPr>
          <w:rFonts w:hint="eastAsia" w:ascii="宋体" w:hAnsi="宋体" w:eastAsia="宋体" w:cs="宋体"/>
        </w:rPr>
        <w:t>PC端操作说明</w:t>
      </w:r>
      <w:bookmarkEnd w:id="0"/>
      <w:bookmarkEnd w:id="1"/>
    </w:p>
    <w:p w14:paraId="7D9D4CB1"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PC端登录地址：</w:t>
      </w:r>
      <w:r>
        <w:rPr>
          <w:rFonts w:hint="eastAsia"/>
        </w:rPr>
        <w:fldChar w:fldCharType="begin"/>
      </w:r>
      <w:r>
        <w:instrText xml:space="preserve"> HYPERLINK "https://hhu.cep.webtrn.cn" </w:instrText>
      </w:r>
      <w:r>
        <w:rPr>
          <w:rFonts w:hint="eastAsia"/>
        </w:rPr>
        <w:fldChar w:fldCharType="separate"/>
      </w:r>
      <w:r>
        <w:rPr>
          <w:rStyle w:val="10"/>
          <w:rFonts w:hint="eastAsia" w:ascii="宋体" w:hAnsi="宋体" w:eastAsia="宋体" w:cs="宋体"/>
          <w:sz w:val="24"/>
        </w:rPr>
        <w:t>https://hhu.cep.webtrn.cn</w:t>
      </w:r>
      <w:r>
        <w:rPr>
          <w:rStyle w:val="10"/>
          <w:rFonts w:hint="eastAsia" w:ascii="宋体" w:hAnsi="宋体" w:eastAsia="宋体" w:cs="宋体"/>
          <w:sz w:val="24"/>
        </w:rPr>
        <w:fldChar w:fldCharType="end"/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Fonts w:hint="eastAsia" w:ascii="宋体" w:hAnsi="宋体" w:eastAsia="宋体" w:cs="宋体"/>
          <w:color w:val="FF0000"/>
          <w:sz w:val="24"/>
        </w:rPr>
        <w:t>（此链接仅限电脑端登录，手机或平板登录方法见“移动端操作说明”）</w:t>
      </w:r>
      <w:r>
        <w:rPr>
          <w:rFonts w:hint="eastAsia" w:ascii="宋体" w:hAnsi="宋体" w:eastAsia="宋体" w:cs="宋体"/>
          <w:sz w:val="24"/>
        </w:rPr>
        <w:t>，用户名为学号，密码默认为身份证号后六位。</w:t>
      </w:r>
    </w:p>
    <w:p w14:paraId="79F0DE7D">
      <w:pPr>
        <w:pStyle w:val="7"/>
        <w:ind w:firstLine="210"/>
        <w:jc w:val="center"/>
      </w:pPr>
      <w:r>
        <w:drawing>
          <wp:inline distT="0" distB="0" distL="114300" distR="114300">
            <wp:extent cx="4873625" cy="4622800"/>
            <wp:effectExtent l="0" t="0" r="3175" b="6350"/>
            <wp:docPr id="4" name="图片 4" descr="1665035579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6503557995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3625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5C937">
      <w:pPr>
        <w:pStyle w:val="7"/>
        <w:ind w:firstLine="210"/>
        <w:jc w:val="center"/>
      </w:pPr>
    </w:p>
    <w:p w14:paraId="455744C0">
      <w:pPr>
        <w:pStyle w:val="3"/>
        <w:rPr>
          <w:rFonts w:ascii="宋体" w:hAnsi="宋体" w:cs="宋体"/>
          <w:b/>
          <w:bCs/>
        </w:rPr>
      </w:pPr>
      <w:bookmarkStart w:id="2" w:name="_Toc7631_WPSOffice_Level2"/>
      <w:bookmarkStart w:id="3" w:name="_Toc20832"/>
      <w:bookmarkStart w:id="4" w:name="_Toc17374"/>
      <w:r>
        <w:rPr>
          <w:rFonts w:hint="eastAsia" w:ascii="宋体" w:hAnsi="宋体" w:cs="宋体"/>
          <w:b/>
          <w:bCs/>
        </w:rPr>
        <w:t>系统界面首页</w:t>
      </w:r>
      <w:bookmarkEnd w:id="2"/>
      <w:bookmarkEnd w:id="3"/>
      <w:bookmarkEnd w:id="4"/>
    </w:p>
    <w:p w14:paraId="33B92598"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登录进入系统界面首页，主要显示学生个人信息、导航栏、菜单栏、我的成长记录、公告信息、在学课程（当前学期网络课程）、已修课程（当前学期之前的网络课程）。</w:t>
      </w:r>
    </w:p>
    <w:p w14:paraId="71678B8B"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菜单栏包括：教务、缴费、考试、毕业相关信息。</w:t>
      </w:r>
    </w:p>
    <w:p w14:paraId="2464B736">
      <w:r>
        <w:drawing>
          <wp:inline distT="0" distB="0" distL="114300" distR="114300">
            <wp:extent cx="5271135" cy="3722370"/>
            <wp:effectExtent l="0" t="0" r="5715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22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2A5BE7">
      <w:pPr>
        <w:pStyle w:val="7"/>
        <w:ind w:firstLine="210"/>
      </w:pPr>
    </w:p>
    <w:p w14:paraId="5E2D452E">
      <w:pPr>
        <w:pStyle w:val="3"/>
        <w:rPr>
          <w:rFonts w:ascii="宋体" w:hAnsi="宋体" w:cs="宋体"/>
          <w:b/>
          <w:bCs/>
        </w:rPr>
      </w:pPr>
      <w:bookmarkStart w:id="5" w:name="_Toc32040"/>
      <w:bookmarkStart w:id="6" w:name="_Toc22924"/>
      <w:bookmarkStart w:id="7" w:name="_Toc23666_WPSOffice_Level2"/>
      <w:r>
        <w:rPr>
          <w:rFonts w:hint="eastAsia" w:ascii="宋体" w:hAnsi="宋体" w:cs="宋体"/>
          <w:b/>
          <w:bCs/>
        </w:rPr>
        <w:t>我的课程</w:t>
      </w:r>
      <w:bookmarkEnd w:id="5"/>
      <w:bookmarkEnd w:id="6"/>
      <w:bookmarkEnd w:id="7"/>
    </w:p>
    <w:p w14:paraId="33497EB2"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显示教学大纲的课程，只有</w:t>
      </w:r>
      <w:r>
        <w:rPr>
          <w:rFonts w:hint="eastAsia" w:ascii="宋体" w:hAnsi="宋体" w:eastAsia="宋体" w:cs="宋体"/>
          <w:b/>
          <w:bCs/>
          <w:color w:val="2E54A1" w:themeColor="accent1" w:themeShade="BF"/>
          <w:sz w:val="24"/>
        </w:rPr>
        <w:t>当前学期</w:t>
      </w:r>
      <w:r>
        <w:rPr>
          <w:rFonts w:hint="eastAsia" w:ascii="宋体" w:hAnsi="宋体" w:eastAsia="宋体" w:cs="宋体"/>
          <w:sz w:val="24"/>
        </w:rPr>
        <w:t>和</w:t>
      </w:r>
      <w:r>
        <w:rPr>
          <w:rFonts w:hint="eastAsia" w:ascii="宋体" w:hAnsi="宋体" w:eastAsia="宋体" w:cs="宋体"/>
          <w:b/>
          <w:bCs/>
          <w:color w:val="2E54A1" w:themeColor="accent1" w:themeShade="BF"/>
          <w:sz w:val="24"/>
        </w:rPr>
        <w:t>当前学期</w:t>
      </w:r>
      <w:r>
        <w:rPr>
          <w:rFonts w:hint="eastAsia" w:ascii="宋体" w:hAnsi="宋体" w:eastAsia="宋体" w:cs="宋体"/>
          <w:sz w:val="24"/>
        </w:rPr>
        <w:t>之前的“网络”课程可以进行网上学习。有蓝色背景的课程为</w:t>
      </w:r>
      <w:r>
        <w:rPr>
          <w:rFonts w:hint="eastAsia" w:ascii="宋体" w:hAnsi="宋体" w:eastAsia="宋体" w:cs="宋体"/>
          <w:b/>
          <w:bCs/>
          <w:color w:val="2E54A1" w:themeColor="accent1" w:themeShade="BF"/>
          <w:sz w:val="24"/>
        </w:rPr>
        <w:t>当前学期</w:t>
      </w:r>
      <w:r>
        <w:rPr>
          <w:rFonts w:hint="eastAsia" w:ascii="宋体" w:hAnsi="宋体" w:eastAsia="宋体" w:cs="宋体"/>
          <w:sz w:val="24"/>
        </w:rPr>
        <w:t>的课程。</w:t>
      </w:r>
    </w:p>
    <w:p w14:paraId="53F396C7">
      <w:r>
        <w:drawing>
          <wp:inline distT="0" distB="0" distL="114300" distR="114300">
            <wp:extent cx="5261610" cy="3723005"/>
            <wp:effectExtent l="0" t="0" r="1524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723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51D82D">
      <w:pPr>
        <w:pStyle w:val="7"/>
        <w:ind w:firstLine="210"/>
      </w:pPr>
    </w:p>
    <w:p w14:paraId="35EFF662">
      <w:pPr>
        <w:pStyle w:val="4"/>
        <w:rPr>
          <w:sz w:val="24"/>
        </w:rPr>
      </w:pPr>
      <w:bookmarkStart w:id="8" w:name="_Toc24486"/>
      <w:bookmarkStart w:id="9" w:name="_Toc471989629"/>
      <w:bookmarkStart w:id="10" w:name="_Toc9718"/>
      <w:bookmarkStart w:id="11" w:name="_Toc471979128"/>
      <w:r>
        <w:rPr>
          <w:rFonts w:hint="eastAsia"/>
          <w:sz w:val="24"/>
        </w:rPr>
        <w:t>学习课件</w:t>
      </w:r>
      <w:bookmarkEnd w:id="8"/>
      <w:bookmarkEnd w:id="9"/>
      <w:bookmarkEnd w:id="10"/>
      <w:bookmarkEnd w:id="11"/>
    </w:p>
    <w:p w14:paraId="00CBAF74">
      <w:pPr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第一种界面</w:t>
      </w:r>
      <w:r>
        <w:rPr>
          <w:rFonts w:hint="eastAsia" w:ascii="宋体" w:hAnsi="宋体" w:eastAsia="宋体" w:cs="宋体"/>
          <w:sz w:val="24"/>
        </w:rPr>
        <w:t>：在课件板块，学生可查看本课程所有的资源，包括视频、文档、图文、下载资料、链接、自测、作业、讨论等。</w:t>
      </w:r>
    </w:p>
    <w:p w14:paraId="4FD1D0DC">
      <w:pPr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1、学习节点时，能够记录完成状态（如课件节点旁的蓝色圆圈，蓝色把整个圆填充完代表该节点已完成），同时也能记录学习进度，下一次再进入课件时，能够从离开的节点自动续学。</w:t>
      </w:r>
    </w:p>
    <w:p w14:paraId="00EA304D">
      <w:pPr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2、视频能够做到断点续播，观看视频到一定时间后刷新该页面，视频能从刷新前的进度进行断点续播。</w:t>
      </w:r>
    </w:p>
    <w:p w14:paraId="6E9B3FF0">
      <w:pPr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3、网页上观看视频后在视频下方可查看自己的观看总时长及观看轨迹。观看轨迹中蓝色部分代表实际观看的，灰色部分代表还未观看的。重复观看部分计入观看总时长中，但不计入观看百分比中。</w:t>
      </w:r>
    </w:p>
    <w:p w14:paraId="6ED4EA3E">
      <w:pPr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4、网页观看视频时，能够根据当时的网络情况设置清晰度，能够开启或隐藏字幕，以及设置倍速（加快或减慢视频的播放速度）。</w:t>
      </w:r>
    </w:p>
    <w:p w14:paraId="746E6FA7">
      <w:pPr>
        <w:keepNext/>
      </w:pPr>
      <w:r>
        <w:drawing>
          <wp:inline distT="0" distB="0" distL="114300" distR="114300">
            <wp:extent cx="5272405" cy="3833495"/>
            <wp:effectExtent l="0" t="0" r="4445" b="14605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33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894423">
      <w:pPr>
        <w:pStyle w:val="5"/>
        <w:ind w:left="3360" w:firstLine="400"/>
      </w:pPr>
      <w:r>
        <w:t>观看轨迹</w:t>
      </w:r>
    </w:p>
    <w:p w14:paraId="4B5A71D6">
      <w:pPr>
        <w:keepNext/>
        <w:ind w:firstLine="480"/>
        <w:jc w:val="center"/>
      </w:pPr>
    </w:p>
    <w:p w14:paraId="45330D21">
      <w:pPr>
        <w:pStyle w:val="7"/>
        <w:ind w:firstLine="210"/>
      </w:pPr>
    </w:p>
    <w:p w14:paraId="7118D271">
      <w:pPr>
        <w:spacing w:line="360" w:lineRule="auto"/>
        <w:ind w:firstLine="480"/>
        <w:rPr>
          <w:rFonts w:ascii="宋体" w:hAnsi="宋体" w:eastAsia="宋体" w:cs="宋体"/>
          <w:sz w:val="24"/>
        </w:rPr>
      </w:pPr>
    </w:p>
    <w:p w14:paraId="2FC3D8EF">
      <w:pPr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第二种界面</w:t>
      </w:r>
      <w:r>
        <w:rPr>
          <w:rFonts w:hint="eastAsia" w:ascii="宋体" w:hAnsi="宋体" w:eastAsia="宋体" w:cs="宋体"/>
          <w:sz w:val="24"/>
        </w:rPr>
        <w:t>：跳转到“中国大学MOOC”</w:t>
      </w:r>
    </w:p>
    <w:p w14:paraId="30784444">
      <w:pPr>
        <w:pStyle w:val="7"/>
        <w:ind w:firstLine="0" w:firstLineChars="0"/>
      </w:pPr>
      <w:r>
        <w:drawing>
          <wp:inline distT="0" distB="0" distL="0" distR="0">
            <wp:extent cx="5274310" cy="32924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E90CE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右上角登录或者注册，如果之前已经在MOOC平台注册过账号，依次输入注册的手机号或者邮箱、密码登录即可；若之前未注册过，则需要在登陆界面的右下角点击“去注册”，依次输入手机号、密码和验证码，最后点击“注册并登录”即可。</w:t>
      </w:r>
    </w:p>
    <w:p w14:paraId="2F6261C6">
      <w:pPr>
        <w:pStyle w:val="7"/>
        <w:ind w:firstLine="0" w:firstLineChars="0"/>
        <w:jc w:val="center"/>
      </w:pPr>
      <w:r>
        <w:drawing>
          <wp:inline distT="0" distB="0" distL="0" distR="0">
            <wp:extent cx="2566670" cy="2284730"/>
            <wp:effectExtent l="0" t="0" r="508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628" cy="230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33650" cy="2287905"/>
            <wp:effectExtent l="0" t="0" r="0" b="171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6688" cy="229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E2806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登陆后，点击课程下方的“</w:t>
      </w:r>
      <w:r>
        <w:rPr>
          <w:rFonts w:hint="eastAsia" w:ascii="宋体" w:hAnsi="宋体" w:eastAsia="宋体" w:cs="宋体"/>
          <w:b/>
          <w:bCs/>
          <w:sz w:val="24"/>
        </w:rPr>
        <w:t>立即参加</w:t>
      </w:r>
      <w:r>
        <w:rPr>
          <w:rFonts w:hint="eastAsia" w:ascii="宋体" w:hAnsi="宋体" w:eastAsia="宋体" w:cs="宋体"/>
          <w:sz w:val="24"/>
        </w:rPr>
        <w:t>”，在弹出的“在线学习诚信协议”中，将左下角的</w:t>
      </w:r>
      <w:r>
        <w:rPr>
          <w:rFonts w:ascii="宋体" w:hAnsi="宋体" w:eastAsia="宋体" w:cs="宋体"/>
          <w:sz w:val="24"/>
        </w:rPr>
        <w:t>勾选框内打勾</w:t>
      </w:r>
      <w:r>
        <w:rPr>
          <w:rFonts w:hint="eastAsia" w:ascii="宋体" w:hAnsi="宋体" w:eastAsia="宋体" w:cs="宋体"/>
          <w:sz w:val="24"/>
        </w:rPr>
        <w:t>，再点击“确定”。</w:t>
      </w:r>
    </w:p>
    <w:p w14:paraId="120A6618">
      <w:pPr>
        <w:pStyle w:val="7"/>
        <w:ind w:firstLineChars="200"/>
        <w:jc w:val="right"/>
      </w:pPr>
      <w:r>
        <w:drawing>
          <wp:inline distT="0" distB="0" distL="0" distR="0">
            <wp:extent cx="5007610" cy="3091815"/>
            <wp:effectExtent l="0" t="0" r="254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1694" cy="310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045710" cy="2818765"/>
            <wp:effectExtent l="0" t="0" r="254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3268" cy="282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742BB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部分课程，在点击“立即参加”后，会弹出“学习模式”界面，点击右侧的“免费学习模式”，再点击“立即参加”，即可进入“在线学习诚信协议”界面。</w:t>
      </w:r>
    </w:p>
    <w:p w14:paraId="2B0F2A14">
      <w:pPr>
        <w:pStyle w:val="7"/>
        <w:ind w:firstLineChars="200"/>
        <w:jc w:val="center"/>
      </w:pPr>
      <w:r>
        <w:drawing>
          <wp:inline distT="0" distB="0" distL="114300" distR="114300">
            <wp:extent cx="3094355" cy="4373245"/>
            <wp:effectExtent l="0" t="0" r="10795" b="8255"/>
            <wp:docPr id="42" name="图片 42" descr="1742808279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7428082796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4355" cy="437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5F332">
      <w:pPr>
        <w:pStyle w:val="7"/>
        <w:ind w:firstLineChars="200"/>
        <w:jc w:val="center"/>
      </w:pPr>
    </w:p>
    <w:p w14:paraId="5380C46F">
      <w:pPr>
        <w:pStyle w:val="7"/>
        <w:ind w:firstLineChars="200"/>
        <w:jc w:val="center"/>
      </w:pPr>
      <w:r>
        <w:rPr>
          <w:rFonts w:hint="eastAsia"/>
        </w:rPr>
        <w:drawing>
          <wp:inline distT="0" distB="0" distL="114300" distR="114300">
            <wp:extent cx="4399280" cy="3853815"/>
            <wp:effectExtent l="0" t="0" r="1270" b="13335"/>
            <wp:docPr id="44" name="图片 44" descr="1742808279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7428082796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6DCB9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点击课程名称下方的“</w:t>
      </w:r>
      <w:r>
        <w:rPr>
          <w:rFonts w:hint="eastAsia" w:ascii="宋体" w:hAnsi="宋体" w:eastAsia="宋体" w:cs="宋体"/>
          <w:b/>
          <w:bCs/>
          <w:sz w:val="24"/>
        </w:rPr>
        <w:t>已参加，进入学习</w:t>
      </w:r>
      <w:r>
        <w:rPr>
          <w:rFonts w:hint="eastAsia" w:ascii="宋体" w:hAnsi="宋体" w:eastAsia="宋体" w:cs="宋体"/>
          <w:sz w:val="24"/>
        </w:rPr>
        <w:t>”，进入学习界面。</w:t>
      </w:r>
    </w:p>
    <w:p w14:paraId="12292572">
      <w:pPr>
        <w:pStyle w:val="7"/>
        <w:ind w:firstLineChars="200"/>
        <w:jc w:val="left"/>
      </w:pPr>
    </w:p>
    <w:p w14:paraId="71917A48">
      <w:pPr>
        <w:pStyle w:val="7"/>
        <w:ind w:firstLine="0" w:firstLineChars="0"/>
        <w:jc w:val="right"/>
      </w:pPr>
      <w:r>
        <w:drawing>
          <wp:inline distT="0" distB="0" distL="0" distR="0">
            <wp:extent cx="5026660" cy="2033905"/>
            <wp:effectExtent l="0" t="0" r="254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7329" cy="203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A069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学习界面左侧是导航栏，导航栏可以查看公告，评分标准，课件，测验与作业和考试，点击上面的箭头，打开导航栏，点击“课件”进入课程内容学习页面，按顺序学习课程的视频资源即可。</w:t>
      </w:r>
    </w:p>
    <w:p w14:paraId="728C540A">
      <w:pPr>
        <w:pStyle w:val="7"/>
        <w:ind w:firstLine="0" w:firstLineChars="0"/>
        <w:jc w:val="right"/>
      </w:pPr>
    </w:p>
    <w:p w14:paraId="2099C416">
      <w:pPr>
        <w:pStyle w:val="7"/>
        <w:ind w:firstLine="0" w:firstLineChars="0"/>
        <w:jc w:val="left"/>
      </w:pPr>
      <w:r>
        <w:drawing>
          <wp:inline distT="0" distB="0" distL="0" distR="0">
            <wp:extent cx="5274310" cy="1577340"/>
            <wp:effectExtent l="0" t="0" r="254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A7403">
      <w:pPr>
        <w:pStyle w:val="7"/>
        <w:ind w:firstLine="0" w:firstLineChars="0"/>
        <w:jc w:val="left"/>
      </w:pPr>
      <w:r>
        <w:drawing>
          <wp:inline distT="0" distB="0" distL="0" distR="0">
            <wp:extent cx="5274310" cy="3362960"/>
            <wp:effectExtent l="0" t="0" r="2540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5C4CB">
      <w:pPr>
        <w:pStyle w:val="7"/>
        <w:ind w:right="210" w:firstLine="0" w:firstLineChars="0"/>
        <w:jc w:val="left"/>
      </w:pPr>
    </w:p>
    <w:p w14:paraId="58DF1868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bookmarkStart w:id="12" w:name="_Hlk179984211"/>
      <w:r>
        <w:rPr>
          <w:rFonts w:hint="eastAsia" w:ascii="宋体" w:hAnsi="宋体" w:eastAsia="宋体" w:cs="宋体"/>
          <w:sz w:val="24"/>
        </w:rPr>
        <w:t>对于正在更新的课程，每周要进入课程参加学习，完成对应视频资源学习；对于已更新完成的课程（如下图），点击课程下方的“</w:t>
      </w:r>
      <w:r>
        <w:rPr>
          <w:rFonts w:hint="eastAsia" w:ascii="宋体" w:hAnsi="宋体" w:eastAsia="宋体" w:cs="宋体"/>
          <w:b/>
          <w:bCs/>
          <w:sz w:val="24"/>
        </w:rPr>
        <w:t>立即自学</w:t>
      </w:r>
      <w:r>
        <w:rPr>
          <w:rFonts w:hint="eastAsia" w:ascii="宋体" w:hAnsi="宋体" w:eastAsia="宋体" w:cs="宋体"/>
          <w:sz w:val="24"/>
        </w:rPr>
        <w:t>”，可以集中时间，将课程学完。</w:t>
      </w:r>
      <w:bookmarkEnd w:id="12"/>
    </w:p>
    <w:p w14:paraId="492EC2EF">
      <w:pPr>
        <w:pStyle w:val="7"/>
        <w:spacing w:line="360" w:lineRule="auto"/>
        <w:ind w:firstLine="0" w:firstLineChars="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1837690"/>
            <wp:effectExtent l="0" t="0" r="2540" b="1016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B1BA6">
      <w:pPr>
        <w:pStyle w:val="7"/>
        <w:spacing w:line="360" w:lineRule="auto"/>
        <w:ind w:firstLine="482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第三种界面</w:t>
      </w:r>
      <w:r>
        <w:rPr>
          <w:rFonts w:hint="eastAsia" w:ascii="宋体" w:hAnsi="宋体" w:eastAsia="宋体" w:cs="宋体"/>
          <w:sz w:val="24"/>
        </w:rPr>
        <w:t>：跳转到“学堂在线”</w:t>
      </w:r>
    </w:p>
    <w:p w14:paraId="56584A13">
      <w:pPr>
        <w:pStyle w:val="7"/>
        <w:spacing w:line="360" w:lineRule="auto"/>
        <w:ind w:firstLine="0" w:firstLineChars="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1680210"/>
            <wp:effectExtent l="0" t="0" r="2540" b="1524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B49BC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点击右上角登录或者注册，如果之前已经在“学堂在线”平台注册过账号，可以通过微信扫码、手机登录、邮箱登录，任意一种方式登录即可；若之前未注册过，则需要点击右上角 “注册”，依次输入手机号或者邮箱、密码和验证码，最后点击“继续”即可。</w:t>
      </w:r>
    </w:p>
    <w:p w14:paraId="4A8CEF53">
      <w:pPr>
        <w:pStyle w:val="7"/>
        <w:spacing w:line="360" w:lineRule="auto"/>
        <w:ind w:firstLine="0" w:firstLineChars="0"/>
        <w:jc w:val="center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2790825" cy="3076575"/>
            <wp:effectExtent l="0" t="0" r="9525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105" cy="308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59BE3">
      <w:pPr>
        <w:pStyle w:val="7"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登陆后，点击课程右下方的“加入学习”，在弹出的“课程服务”中，在左侧的“免费学习”中，点击下方的“</w:t>
      </w:r>
      <w:r>
        <w:rPr>
          <w:rFonts w:hint="eastAsia" w:ascii="宋体" w:hAnsi="宋体" w:eastAsia="宋体" w:cs="宋体"/>
          <w:b/>
          <w:bCs/>
          <w:sz w:val="24"/>
        </w:rPr>
        <w:t>免费加入学习</w:t>
      </w:r>
      <w:r>
        <w:rPr>
          <w:rFonts w:hint="eastAsia" w:ascii="宋体" w:hAnsi="宋体" w:eastAsia="宋体" w:cs="宋体"/>
          <w:sz w:val="24"/>
        </w:rPr>
        <w:t>”，进入学习界面。</w:t>
      </w:r>
    </w:p>
    <w:p w14:paraId="1CD38530">
      <w:pPr>
        <w:pStyle w:val="7"/>
        <w:spacing w:line="360" w:lineRule="auto"/>
        <w:ind w:firstLine="0" w:firstLineChars="0"/>
        <w:jc w:val="left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1483995"/>
            <wp:effectExtent l="0" t="0" r="2540" b="190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F29DF">
      <w:pPr>
        <w:pStyle w:val="7"/>
        <w:spacing w:line="360" w:lineRule="auto"/>
        <w:ind w:firstLine="0" w:firstLineChars="0"/>
        <w:jc w:val="center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4814570" cy="4143375"/>
            <wp:effectExtent l="0" t="0" r="5080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457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B04D7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学习界面左侧是学习进度和目录，按照目录中的顺序学习课程的视频资源即可。</w:t>
      </w:r>
    </w:p>
    <w:p w14:paraId="5948969B">
      <w:pPr>
        <w:pStyle w:val="7"/>
        <w:spacing w:line="360" w:lineRule="auto"/>
        <w:ind w:firstLine="480" w:firstLineChars="200"/>
        <w:jc w:val="center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3921760"/>
            <wp:effectExtent l="0" t="0" r="2540" b="254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8ED99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第四种界面：跳转到“bilibili”</w:t>
      </w:r>
    </w:p>
    <w:p w14:paraId="0132969B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606675"/>
            <wp:effectExtent l="0" t="0" r="254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AC1DD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右上角登录，如果之前已经在“bilibili”平台注册过账号，可以通过密码、短信、微信、微博、qq等方式登录；若之前未注册过，则需要点击“短信登陆”，依次输入手机号和验证码，最后点击“登录/注册”即可。</w:t>
      </w:r>
    </w:p>
    <w:p w14:paraId="7C997E90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779395"/>
            <wp:effectExtent l="0" t="0" r="2540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59E00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成功登录后，进入到学习界面，右侧是视频选集目录，按照目录中的顺序学习课程的视频资源即可。</w:t>
      </w:r>
    </w:p>
    <w:p w14:paraId="487627A0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237105"/>
            <wp:effectExtent l="0" t="0" r="254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07885">
      <w:pPr>
        <w:pStyle w:val="2"/>
      </w:pPr>
      <w:r>
        <w:rPr>
          <w:rFonts w:hint="eastAsia"/>
        </w:rPr>
        <w:t>移动端操作说明</w:t>
      </w:r>
    </w:p>
    <w:p w14:paraId="0C3654DE">
      <w:p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2.1  进入界面</w:t>
      </w:r>
    </w:p>
    <w:p w14:paraId="0C25681F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搜索并关注“河海大学终身教育学院”微信公众号，依次点击“学历教育”—“学历平台”。</w:t>
      </w:r>
    </w:p>
    <w:p w14:paraId="5713BCBF">
      <w:pPr>
        <w:jc w:val="center"/>
        <w:rPr>
          <w:b/>
          <w:bCs/>
          <w:sz w:val="32"/>
          <w:szCs w:val="40"/>
        </w:rPr>
      </w:pPr>
      <w:r>
        <w:drawing>
          <wp:inline distT="0" distB="0" distL="0" distR="0">
            <wp:extent cx="1694815" cy="3581400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19505" cy="363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F2560">
      <w:p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2.2  账号登录</w:t>
      </w:r>
    </w:p>
    <w:p w14:paraId="4CBADEC1">
      <w:pPr>
        <w:spacing w:line="360" w:lineRule="auto"/>
        <w:ind w:firstLine="480" w:firstLineChars="200"/>
        <w:rPr>
          <w:b/>
          <w:bCs/>
          <w:sz w:val="32"/>
          <w:szCs w:val="40"/>
        </w:rPr>
      </w:pPr>
      <w:r>
        <w:rPr>
          <w:rFonts w:hint="eastAsia"/>
          <w:sz w:val="24"/>
        </w:rPr>
        <w:t>在登录界面输入用户名和密码，</w:t>
      </w:r>
      <w:r>
        <w:rPr>
          <w:rFonts w:hint="eastAsia" w:ascii="宋体" w:hAnsi="宋体" w:eastAsia="宋体" w:cs="宋体"/>
          <w:sz w:val="24"/>
        </w:rPr>
        <w:t>用户名为学号，密码默认为身份证号后六位。</w:t>
      </w:r>
    </w:p>
    <w:p w14:paraId="016D2205">
      <w:pPr>
        <w:pStyle w:val="7"/>
        <w:ind w:firstLine="210"/>
      </w:pPr>
    </w:p>
    <w:p w14:paraId="18F50314">
      <w:pPr>
        <w:pStyle w:val="7"/>
        <w:ind w:firstLine="210"/>
      </w:pPr>
    </w:p>
    <w:p w14:paraId="2032EDB9">
      <w:pPr>
        <w:pStyle w:val="7"/>
        <w:ind w:firstLine="210"/>
      </w:pPr>
    </w:p>
    <w:p w14:paraId="05848A3B">
      <w:pPr>
        <w:pStyle w:val="7"/>
        <w:ind w:firstLine="210"/>
      </w:pPr>
    </w:p>
    <w:p w14:paraId="61394CE1">
      <w:pPr>
        <w:pStyle w:val="7"/>
        <w:ind w:firstLine="210"/>
      </w:pPr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987425</wp:posOffset>
            </wp:positionH>
            <wp:positionV relativeFrom="paragraph">
              <wp:posOffset>46355</wp:posOffset>
            </wp:positionV>
            <wp:extent cx="3121660" cy="3178175"/>
            <wp:effectExtent l="0" t="0" r="2540" b="3175"/>
            <wp:wrapNone/>
            <wp:docPr id="14" name="图片 14" descr="1bfedf19b96448e3e0ebdac4f43cb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bfedf19b96448e3e0ebdac4f43cbff"/>
                    <pic:cNvPicPr>
                      <a:picLocks noChangeAspect="1"/>
                    </pic:cNvPicPr>
                  </pic:nvPicPr>
                  <pic:blipFill>
                    <a:blip r:embed="rId28"/>
                    <a:srcRect t="6028" b="46915"/>
                    <a:stretch>
                      <a:fillRect/>
                    </a:stretch>
                  </pic:blipFill>
                  <pic:spPr>
                    <a:xfrm>
                      <a:off x="0" y="0"/>
                      <a:ext cx="312166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0EAB79">
      <w:pPr>
        <w:pStyle w:val="7"/>
        <w:ind w:firstLine="210"/>
      </w:pPr>
    </w:p>
    <w:p w14:paraId="6A123FC1">
      <w:pPr>
        <w:pStyle w:val="7"/>
        <w:ind w:firstLine="210"/>
      </w:pPr>
    </w:p>
    <w:p w14:paraId="6D4216B9">
      <w:pPr>
        <w:pStyle w:val="7"/>
        <w:ind w:firstLine="210"/>
      </w:pPr>
    </w:p>
    <w:p w14:paraId="310F5780">
      <w:pPr>
        <w:pStyle w:val="7"/>
        <w:ind w:firstLine="210"/>
      </w:pPr>
    </w:p>
    <w:p w14:paraId="3FB17164">
      <w:pPr>
        <w:pStyle w:val="7"/>
        <w:ind w:firstLine="210"/>
      </w:pPr>
    </w:p>
    <w:p w14:paraId="53FF916F">
      <w:pPr>
        <w:pStyle w:val="7"/>
        <w:ind w:firstLine="210"/>
      </w:pPr>
    </w:p>
    <w:p w14:paraId="2BA64124">
      <w:pPr>
        <w:pStyle w:val="7"/>
        <w:ind w:firstLine="210"/>
      </w:pPr>
    </w:p>
    <w:p w14:paraId="4CC800E1">
      <w:pPr>
        <w:pStyle w:val="7"/>
        <w:ind w:firstLine="210"/>
      </w:pPr>
    </w:p>
    <w:p w14:paraId="4F40078F">
      <w:pPr>
        <w:pStyle w:val="7"/>
        <w:ind w:firstLine="210"/>
      </w:pPr>
    </w:p>
    <w:p w14:paraId="7CC11695">
      <w:pPr>
        <w:pStyle w:val="7"/>
        <w:ind w:firstLine="210"/>
      </w:pPr>
    </w:p>
    <w:p w14:paraId="0EFDED3F">
      <w:pPr>
        <w:pStyle w:val="7"/>
        <w:ind w:firstLine="0" w:firstLineChars="0"/>
      </w:pPr>
    </w:p>
    <w:p w14:paraId="1B642F2B">
      <w:pPr>
        <w:spacing w:line="360" w:lineRule="auto"/>
        <w:rPr>
          <w:rFonts w:hint="eastAsia" w:ascii="宋体" w:hAnsi="宋体" w:eastAsia="宋体" w:cs="宋体"/>
          <w:b/>
          <w:bCs/>
          <w:sz w:val="24"/>
        </w:rPr>
      </w:pPr>
    </w:p>
    <w:p w14:paraId="076DC712">
      <w:pPr>
        <w:spacing w:line="360" w:lineRule="auto"/>
        <w:rPr>
          <w:rFonts w:hint="eastAsia" w:ascii="宋体" w:hAnsi="宋体" w:eastAsia="宋体" w:cs="宋体"/>
          <w:b/>
          <w:bCs/>
          <w:sz w:val="24"/>
        </w:rPr>
      </w:pPr>
    </w:p>
    <w:p w14:paraId="6E7D88E3">
      <w:pPr>
        <w:spacing w:line="360" w:lineRule="auto"/>
        <w:rPr>
          <w:rFonts w:hint="eastAsia" w:ascii="宋体" w:hAnsi="宋体" w:eastAsia="宋体" w:cs="宋体"/>
          <w:b/>
          <w:bCs/>
          <w:sz w:val="24"/>
        </w:rPr>
      </w:pPr>
    </w:p>
    <w:p w14:paraId="0EA6EFE9">
      <w:pPr>
        <w:spacing w:line="360" w:lineRule="auto"/>
        <w:rPr>
          <w:rFonts w:hint="eastAsia" w:ascii="宋体" w:hAnsi="宋体" w:eastAsia="宋体" w:cs="宋体"/>
          <w:b/>
          <w:bCs/>
          <w:sz w:val="24"/>
        </w:rPr>
      </w:pPr>
    </w:p>
    <w:p w14:paraId="7E072179">
      <w:pPr>
        <w:spacing w:line="360" w:lineRule="auto"/>
      </w:pPr>
      <w:r>
        <w:rPr>
          <w:rFonts w:hint="eastAsia" w:ascii="宋体" w:hAnsi="宋体" w:eastAsia="宋体" w:cs="宋体"/>
          <w:b/>
          <w:bCs/>
          <w:sz w:val="24"/>
        </w:rPr>
        <w:t>2.3  我的课程</w:t>
      </w:r>
    </w:p>
    <w:p w14:paraId="40F56C40">
      <w:pPr>
        <w:pStyle w:val="7"/>
        <w:spacing w:line="360" w:lineRule="auto"/>
        <w:ind w:firstLine="480" w:firstLineChars="200"/>
        <w:rPr>
          <w:b/>
          <w:bCs/>
        </w:rPr>
      </w:pPr>
      <w:r>
        <w:rPr>
          <w:rFonts w:hint="eastAsia"/>
          <w:sz w:val="24"/>
        </w:rPr>
        <w:t>点击“学习”选项，进入网络课程界面。</w:t>
      </w:r>
    </w:p>
    <w:p w14:paraId="607E6012">
      <w:pPr>
        <w:pStyle w:val="7"/>
        <w:ind w:firstLine="211"/>
        <w:rPr>
          <w:b/>
          <w:bCs/>
        </w:rPr>
      </w:pPr>
    </w:p>
    <w:p w14:paraId="12DC9D9A">
      <w:pPr>
        <w:pStyle w:val="7"/>
        <w:ind w:firstLine="210"/>
        <w:rPr>
          <w:b/>
          <w:bCs/>
        </w:rPr>
      </w:pP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0</wp:posOffset>
            </wp:positionV>
            <wp:extent cx="2724150" cy="4243070"/>
            <wp:effectExtent l="0" t="0" r="0" b="5080"/>
            <wp:wrapNone/>
            <wp:docPr id="17" name="图片 17" descr="4864d772f454d7941a9677a8aedeb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4864d772f454d7941a9677a8aedeb37"/>
                    <pic:cNvPicPr>
                      <a:picLocks noChangeAspect="1"/>
                    </pic:cNvPicPr>
                  </pic:nvPicPr>
                  <pic:blipFill>
                    <a:blip r:embed="rId29"/>
                    <a:srcRect t="6100" b="8687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3D4259">
      <w:pPr>
        <w:pStyle w:val="7"/>
        <w:ind w:firstLine="211"/>
        <w:rPr>
          <w:b/>
          <w:bCs/>
        </w:rPr>
      </w:pPr>
    </w:p>
    <w:p w14:paraId="60ECD590">
      <w:pPr>
        <w:pStyle w:val="7"/>
        <w:ind w:firstLine="211"/>
        <w:rPr>
          <w:b/>
          <w:bCs/>
        </w:rPr>
      </w:pPr>
    </w:p>
    <w:p w14:paraId="0E76387E">
      <w:pPr>
        <w:pStyle w:val="7"/>
        <w:ind w:firstLine="211"/>
        <w:rPr>
          <w:b/>
          <w:bCs/>
        </w:rPr>
      </w:pPr>
    </w:p>
    <w:p w14:paraId="1870FD37">
      <w:pPr>
        <w:pStyle w:val="7"/>
        <w:ind w:firstLine="211"/>
        <w:rPr>
          <w:b/>
          <w:bCs/>
        </w:rPr>
      </w:pPr>
    </w:p>
    <w:p w14:paraId="552CEDAB">
      <w:pPr>
        <w:pStyle w:val="7"/>
        <w:ind w:firstLine="211"/>
        <w:rPr>
          <w:b/>
          <w:bCs/>
        </w:rPr>
      </w:pPr>
    </w:p>
    <w:p w14:paraId="7327FA47">
      <w:pPr>
        <w:pStyle w:val="7"/>
        <w:ind w:firstLine="211"/>
        <w:rPr>
          <w:b/>
          <w:bCs/>
        </w:rPr>
      </w:pPr>
    </w:p>
    <w:p w14:paraId="5FC9F16E">
      <w:pPr>
        <w:pStyle w:val="7"/>
        <w:ind w:firstLine="211"/>
        <w:rPr>
          <w:b/>
          <w:bCs/>
        </w:rPr>
      </w:pPr>
    </w:p>
    <w:p w14:paraId="03440ABA">
      <w:pPr>
        <w:pStyle w:val="7"/>
        <w:ind w:firstLine="211"/>
        <w:rPr>
          <w:b/>
          <w:bCs/>
        </w:rPr>
      </w:pPr>
    </w:p>
    <w:p w14:paraId="3AEB6BA3">
      <w:pPr>
        <w:pStyle w:val="7"/>
        <w:ind w:firstLine="211"/>
        <w:rPr>
          <w:b/>
          <w:bCs/>
        </w:rPr>
      </w:pPr>
    </w:p>
    <w:p w14:paraId="3FB59F40">
      <w:pPr>
        <w:pStyle w:val="7"/>
        <w:ind w:firstLine="211"/>
        <w:rPr>
          <w:b/>
          <w:bCs/>
        </w:rPr>
      </w:pPr>
    </w:p>
    <w:p w14:paraId="73EA3433">
      <w:pPr>
        <w:pStyle w:val="7"/>
        <w:ind w:firstLine="211"/>
        <w:rPr>
          <w:b/>
          <w:bCs/>
        </w:rPr>
      </w:pPr>
    </w:p>
    <w:p w14:paraId="12F771EA">
      <w:pPr>
        <w:pStyle w:val="7"/>
        <w:ind w:firstLine="211"/>
        <w:rPr>
          <w:b/>
          <w:bCs/>
        </w:rPr>
      </w:pPr>
    </w:p>
    <w:p w14:paraId="0BA87C5B">
      <w:pPr>
        <w:pStyle w:val="7"/>
        <w:ind w:firstLine="211"/>
        <w:rPr>
          <w:b/>
          <w:bCs/>
        </w:rPr>
      </w:pPr>
    </w:p>
    <w:p w14:paraId="33C51346">
      <w:pPr>
        <w:pStyle w:val="7"/>
        <w:ind w:firstLine="211"/>
        <w:rPr>
          <w:b/>
          <w:bCs/>
        </w:rPr>
      </w:pPr>
    </w:p>
    <w:p w14:paraId="782E2BF7">
      <w:pPr>
        <w:pStyle w:val="7"/>
        <w:ind w:firstLine="211"/>
        <w:rPr>
          <w:b/>
          <w:bCs/>
        </w:rPr>
      </w:pPr>
    </w:p>
    <w:p w14:paraId="4AF27E86">
      <w:pPr>
        <w:pStyle w:val="7"/>
        <w:ind w:firstLine="211"/>
        <w:rPr>
          <w:b/>
          <w:bCs/>
        </w:rPr>
      </w:pPr>
    </w:p>
    <w:p w14:paraId="3E7B16CA">
      <w:pPr>
        <w:pStyle w:val="7"/>
        <w:ind w:firstLine="211"/>
        <w:rPr>
          <w:b/>
          <w:bCs/>
        </w:rPr>
      </w:pPr>
    </w:p>
    <w:p w14:paraId="0FB713F7">
      <w:pPr>
        <w:pStyle w:val="7"/>
        <w:ind w:firstLine="211"/>
        <w:rPr>
          <w:b/>
          <w:bCs/>
        </w:rPr>
      </w:pPr>
    </w:p>
    <w:p w14:paraId="0E30D589">
      <w:pPr>
        <w:pStyle w:val="7"/>
        <w:ind w:firstLine="211"/>
        <w:rPr>
          <w:b/>
          <w:bCs/>
        </w:rPr>
      </w:pPr>
    </w:p>
    <w:p w14:paraId="44C992A2">
      <w:pPr>
        <w:pStyle w:val="7"/>
        <w:ind w:firstLine="211"/>
        <w:rPr>
          <w:b/>
          <w:bCs/>
        </w:rPr>
      </w:pPr>
    </w:p>
    <w:p w14:paraId="24DC3D31">
      <w:pPr>
        <w:pStyle w:val="7"/>
        <w:ind w:firstLine="211"/>
        <w:rPr>
          <w:b/>
          <w:bCs/>
        </w:rPr>
      </w:pPr>
    </w:p>
    <w:p w14:paraId="2D1030E1">
      <w:pPr>
        <w:spacing w:line="360" w:lineRule="auto"/>
        <w:rPr>
          <w:rFonts w:ascii="宋体" w:hAnsi="宋体" w:eastAsia="宋体" w:cs="宋体"/>
          <w:b/>
          <w:bCs/>
          <w:sz w:val="24"/>
        </w:rPr>
      </w:pPr>
    </w:p>
    <w:p w14:paraId="16ACDB22">
      <w:p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2.4  学习课件</w:t>
      </w:r>
    </w:p>
    <w:p w14:paraId="7EA9660B">
      <w:pPr>
        <w:pStyle w:val="7"/>
        <w:spacing w:line="360" w:lineRule="auto"/>
        <w:ind w:firstLine="482" w:firstLineChars="200"/>
        <w:rPr>
          <w:b/>
          <w:bCs/>
        </w:rPr>
      </w:pPr>
      <w:r>
        <w:rPr>
          <w:rFonts w:hint="eastAsia"/>
          <w:b/>
          <w:bCs/>
          <w:sz w:val="24"/>
        </w:rPr>
        <w:t>第一种界面</w:t>
      </w:r>
      <w:r>
        <w:rPr>
          <w:rFonts w:hint="eastAsia"/>
          <w:sz w:val="24"/>
        </w:rPr>
        <w:t>：点击进入课程，开始学习。</w:t>
      </w:r>
    </w:p>
    <w:p w14:paraId="21BA283C">
      <w:pPr>
        <w:pStyle w:val="7"/>
        <w:ind w:firstLine="211"/>
        <w:rPr>
          <w:b/>
          <w:bCs/>
        </w:rPr>
      </w:pPr>
      <w:r>
        <w:rPr>
          <w:rFonts w:hint="eastAsia"/>
          <w:b/>
          <w:bCs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2941955</wp:posOffset>
            </wp:positionH>
            <wp:positionV relativeFrom="paragraph">
              <wp:posOffset>24765</wp:posOffset>
            </wp:positionV>
            <wp:extent cx="1845945" cy="3381375"/>
            <wp:effectExtent l="0" t="0" r="1905" b="9525"/>
            <wp:wrapNone/>
            <wp:docPr id="20" name="图片 20" descr="ccaffbaa19411e8dd437c8613544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caffbaa19411e8dd437c8613544807"/>
                    <pic:cNvPicPr>
                      <a:picLocks noChangeAspect="1"/>
                    </pic:cNvPicPr>
                  </pic:nvPicPr>
                  <pic:blipFill>
                    <a:blip r:embed="rId30"/>
                    <a:srcRect l="311" t="5885" r="-311" b="9473"/>
                    <a:stretch>
                      <a:fillRect/>
                    </a:stretch>
                  </pic:blipFill>
                  <pic:spPr>
                    <a:xfrm>
                      <a:off x="0" y="0"/>
                      <a:ext cx="1860973" cy="340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72390</wp:posOffset>
            </wp:positionV>
            <wp:extent cx="1830705" cy="3352800"/>
            <wp:effectExtent l="0" t="0" r="17145" b="0"/>
            <wp:wrapNone/>
            <wp:docPr id="27" name="图片 27" descr="424e7d3d33fd757fd2bc3a70f5b9d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424e7d3d33fd757fd2bc3a70f5b9d7d"/>
                    <pic:cNvPicPr>
                      <a:picLocks noChangeAspect="1"/>
                    </pic:cNvPicPr>
                  </pic:nvPicPr>
                  <pic:blipFill>
                    <a:blip r:embed="rId31"/>
                    <a:srcRect t="6387" b="8976"/>
                    <a:stretch>
                      <a:fillRect/>
                    </a:stretch>
                  </pic:blipFill>
                  <pic:spPr>
                    <a:xfrm>
                      <a:off x="0" y="0"/>
                      <a:ext cx="1833365" cy="3357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58B4D4">
      <w:pPr>
        <w:pStyle w:val="7"/>
        <w:ind w:firstLine="211"/>
        <w:rPr>
          <w:b/>
          <w:bCs/>
        </w:rPr>
      </w:pPr>
    </w:p>
    <w:p w14:paraId="66F0EF70">
      <w:pPr>
        <w:pStyle w:val="7"/>
        <w:ind w:firstLine="211"/>
        <w:rPr>
          <w:b/>
          <w:bCs/>
        </w:rPr>
      </w:pPr>
    </w:p>
    <w:p w14:paraId="4F3A05E1">
      <w:pPr>
        <w:pStyle w:val="7"/>
        <w:ind w:firstLine="211"/>
        <w:rPr>
          <w:b/>
          <w:bCs/>
        </w:rPr>
      </w:pPr>
    </w:p>
    <w:p w14:paraId="2A7795CD">
      <w:pPr>
        <w:pStyle w:val="7"/>
        <w:ind w:firstLine="211"/>
        <w:rPr>
          <w:b/>
          <w:bCs/>
        </w:rPr>
      </w:pPr>
    </w:p>
    <w:p w14:paraId="25B3AABD">
      <w:pPr>
        <w:pStyle w:val="7"/>
        <w:ind w:firstLine="211"/>
        <w:rPr>
          <w:b/>
          <w:bCs/>
        </w:rPr>
      </w:pPr>
    </w:p>
    <w:p w14:paraId="1C92E644">
      <w:pPr>
        <w:pStyle w:val="7"/>
        <w:ind w:firstLine="211"/>
        <w:rPr>
          <w:b/>
          <w:bCs/>
        </w:rPr>
      </w:pPr>
    </w:p>
    <w:p w14:paraId="0D63417A">
      <w:pPr>
        <w:pStyle w:val="7"/>
        <w:ind w:firstLine="211"/>
        <w:rPr>
          <w:b/>
          <w:bCs/>
        </w:rPr>
      </w:pPr>
    </w:p>
    <w:p w14:paraId="34634FCA">
      <w:pPr>
        <w:pStyle w:val="7"/>
        <w:ind w:firstLine="211"/>
        <w:rPr>
          <w:b/>
          <w:bCs/>
        </w:rPr>
      </w:pPr>
    </w:p>
    <w:p w14:paraId="67315B67">
      <w:pPr>
        <w:pStyle w:val="7"/>
        <w:ind w:firstLine="211"/>
        <w:rPr>
          <w:b/>
          <w:bCs/>
        </w:rPr>
      </w:pPr>
    </w:p>
    <w:p w14:paraId="202FB362">
      <w:pPr>
        <w:pStyle w:val="7"/>
        <w:ind w:firstLine="211"/>
        <w:rPr>
          <w:b/>
          <w:bCs/>
        </w:rPr>
      </w:pPr>
    </w:p>
    <w:p w14:paraId="7AC3A3EC">
      <w:pPr>
        <w:pStyle w:val="7"/>
        <w:ind w:firstLine="211"/>
        <w:rPr>
          <w:b/>
          <w:bCs/>
        </w:rPr>
      </w:pPr>
    </w:p>
    <w:p w14:paraId="254ECB6D">
      <w:pPr>
        <w:pStyle w:val="7"/>
        <w:ind w:firstLine="211"/>
        <w:rPr>
          <w:b/>
          <w:bCs/>
        </w:rPr>
      </w:pPr>
    </w:p>
    <w:p w14:paraId="7EBA69DA">
      <w:pPr>
        <w:pStyle w:val="7"/>
        <w:ind w:firstLine="211"/>
        <w:rPr>
          <w:b/>
          <w:bCs/>
        </w:rPr>
      </w:pPr>
    </w:p>
    <w:p w14:paraId="724A9E8F">
      <w:pPr>
        <w:pStyle w:val="7"/>
        <w:ind w:firstLine="211"/>
        <w:rPr>
          <w:b/>
          <w:bCs/>
        </w:rPr>
      </w:pPr>
    </w:p>
    <w:p w14:paraId="45D94824">
      <w:pPr>
        <w:pStyle w:val="7"/>
        <w:ind w:firstLine="211"/>
        <w:rPr>
          <w:b/>
          <w:bCs/>
        </w:rPr>
      </w:pPr>
    </w:p>
    <w:p w14:paraId="691D4FAF">
      <w:pPr>
        <w:pStyle w:val="7"/>
        <w:ind w:firstLine="0" w:firstLineChars="0"/>
        <w:rPr>
          <w:b/>
          <w:bCs/>
        </w:rPr>
      </w:pPr>
    </w:p>
    <w:p w14:paraId="452C8CDC">
      <w:pPr>
        <w:pStyle w:val="7"/>
        <w:spacing w:line="360" w:lineRule="auto"/>
        <w:ind w:firstLine="241"/>
        <w:rPr>
          <w:sz w:val="24"/>
        </w:rPr>
      </w:pPr>
      <w:r>
        <w:rPr>
          <w:rFonts w:hint="eastAsia"/>
          <w:b/>
          <w:bCs/>
          <w:sz w:val="24"/>
        </w:rPr>
        <w:t>第二种界面</w:t>
      </w:r>
      <w:r>
        <w:rPr>
          <w:rFonts w:hint="eastAsia"/>
          <w:sz w:val="24"/>
        </w:rPr>
        <w:t>：点击课程，跳转到“中国MOOC”的学习界面，点击“立即参加”，随后弹出登陆界面，可选择通过微信登录、手机登录、邮箱登录三种方式任意一种，登陆进去即可。</w:t>
      </w:r>
    </w:p>
    <w:p w14:paraId="776F5F4F">
      <w:pPr>
        <w:pStyle w:val="7"/>
        <w:ind w:firstLine="630" w:firstLineChars="300"/>
        <w:rPr>
          <w:sz w:val="24"/>
        </w:rPr>
      </w:pPr>
      <w:r>
        <w:drawing>
          <wp:inline distT="0" distB="0" distL="0" distR="0">
            <wp:extent cx="1910715" cy="3441065"/>
            <wp:effectExtent l="0" t="0" r="13335" b="698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63090" cy="3456940"/>
            <wp:effectExtent l="0" t="0" r="3810" b="1016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6309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F8B22">
      <w:pPr>
        <w:pStyle w:val="7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登录成功后，会直接跳转到之前点击的课程界面，点击课程下方的“立即参加”，在弹出的</w:t>
      </w:r>
      <w:r>
        <w:rPr>
          <w:rFonts w:hint="eastAsia" w:ascii="宋体" w:hAnsi="宋体" w:eastAsia="宋体" w:cs="宋体"/>
          <w:sz w:val="24"/>
        </w:rPr>
        <w:t>“在线学习诚信协议”中，将左下角的</w:t>
      </w:r>
      <w:r>
        <w:rPr>
          <w:rFonts w:ascii="宋体" w:hAnsi="宋体" w:eastAsia="宋体" w:cs="宋体"/>
          <w:sz w:val="24"/>
        </w:rPr>
        <w:t>勾选框内打勾</w:t>
      </w:r>
      <w:r>
        <w:rPr>
          <w:rFonts w:hint="eastAsia" w:ascii="宋体" w:hAnsi="宋体" w:eastAsia="宋体" w:cs="宋体"/>
          <w:sz w:val="24"/>
        </w:rPr>
        <w:t>，再点击“确定”。</w:t>
      </w:r>
    </w:p>
    <w:p w14:paraId="18502D2C">
      <w:pPr>
        <w:pStyle w:val="7"/>
        <w:ind w:firstLine="0" w:firstLineChars="0"/>
        <w:rPr>
          <w:sz w:val="24"/>
        </w:rPr>
      </w:pPr>
      <w:r>
        <w:drawing>
          <wp:inline distT="0" distB="0" distL="0" distR="0">
            <wp:extent cx="2432050" cy="4495800"/>
            <wp:effectExtent l="0" t="0" r="635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35046" cy="450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2562225" cy="4505325"/>
            <wp:effectExtent l="0" t="0" r="9525" b="952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7251" cy="453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2D582">
      <w:pPr>
        <w:pStyle w:val="7"/>
        <w:spacing w:line="360" w:lineRule="auto"/>
        <w:ind w:firstLine="480" w:firstLineChars="200"/>
        <w:rPr>
          <w:sz w:val="24"/>
        </w:rPr>
      </w:pPr>
      <w:r>
        <w:rPr>
          <w:rFonts w:hint="eastAsia" w:ascii="宋体" w:hAnsi="宋体" w:eastAsia="宋体" w:cs="宋体"/>
          <w:sz w:val="24"/>
        </w:rPr>
        <w:t>点击“确定”后，课程界面下方会变成“已参加，进入学习页”，点击进去，进入到课程学习界面，课程名称下方是导航栏，导航栏可以查看公告，课件，考核和讨论，点击“课件”，进入到课程学习界面。</w:t>
      </w:r>
    </w:p>
    <w:p w14:paraId="363443AC">
      <w:pPr>
        <w:pStyle w:val="7"/>
        <w:ind w:firstLine="0" w:firstLineChars="0"/>
        <w:jc w:val="center"/>
      </w:pPr>
      <w:r>
        <w:drawing>
          <wp:inline distT="0" distB="0" distL="0" distR="0">
            <wp:extent cx="2028825" cy="3718560"/>
            <wp:effectExtent l="0" t="0" r="9525" b="1524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29933" cy="372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38350" cy="3721100"/>
            <wp:effectExtent l="0" t="0" r="0" b="1270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45853" cy="373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E5AD8">
      <w:pPr>
        <w:pStyle w:val="7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进入到学习界面后，按照目录顺序，依次点击不同专题右侧的展开箭头，</w:t>
      </w:r>
      <w:r>
        <w:rPr>
          <w:rFonts w:hint="eastAsia" w:ascii="宋体" w:hAnsi="宋体" w:eastAsia="宋体" w:cs="宋体"/>
          <w:sz w:val="24"/>
        </w:rPr>
        <w:t>按顺序学习课程的视频资源即可。</w:t>
      </w:r>
    </w:p>
    <w:p w14:paraId="42F88CB7">
      <w:pPr>
        <w:pStyle w:val="7"/>
        <w:ind w:firstLine="0" w:firstLineChars="0"/>
        <w:jc w:val="center"/>
        <w:rPr>
          <w:sz w:val="24"/>
        </w:rPr>
      </w:pPr>
      <w:r>
        <w:drawing>
          <wp:inline distT="0" distB="0" distL="0" distR="0">
            <wp:extent cx="2350770" cy="4314825"/>
            <wp:effectExtent l="0" t="0" r="11430" b="95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65490" cy="434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49500" cy="4312285"/>
            <wp:effectExtent l="0" t="0" r="12700" b="1206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61021" cy="433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12A6">
      <w:pPr>
        <w:pStyle w:val="7"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对于正在更新的课程，每周要进入课程参加学习，完成对应学习任务；对于已更新完成的课程，点击课程名称下方的“立即自学”，可以集中时间，将课程学完。</w:t>
      </w:r>
    </w:p>
    <w:p w14:paraId="1415A729">
      <w:pPr>
        <w:pStyle w:val="7"/>
        <w:spacing w:line="360" w:lineRule="auto"/>
        <w:ind w:firstLine="482" w:firstLineChars="200"/>
        <w:jc w:val="left"/>
        <w:rPr>
          <w:sz w:val="24"/>
        </w:rPr>
      </w:pPr>
      <w:r>
        <w:rPr>
          <w:rFonts w:hint="eastAsia"/>
          <w:b/>
          <w:bCs/>
          <w:sz w:val="24"/>
        </w:rPr>
        <w:t>第三种界面</w:t>
      </w:r>
      <w:r>
        <w:rPr>
          <w:rFonts w:hint="eastAsia"/>
          <w:sz w:val="24"/>
        </w:rPr>
        <w:t>：跳转到“学堂在线”的学习界面，</w:t>
      </w:r>
      <w:r>
        <w:rPr>
          <w:rFonts w:hint="eastAsia" w:ascii="宋体" w:hAnsi="宋体" w:eastAsia="宋体" w:cs="宋体"/>
          <w:sz w:val="24"/>
        </w:rPr>
        <w:t>点击课程下方的“加入学习”，在弹出的“课程服务”中，点击“免费加入学习”，跳转到微信登陆界面。</w:t>
      </w:r>
    </w:p>
    <w:p w14:paraId="348A0116">
      <w:pPr>
        <w:pStyle w:val="7"/>
        <w:spacing w:line="360" w:lineRule="auto"/>
        <w:ind w:firstLine="0" w:firstLineChars="0"/>
        <w:jc w:val="center"/>
        <w:rPr>
          <w:sz w:val="24"/>
        </w:rPr>
      </w:pPr>
      <w:r>
        <w:drawing>
          <wp:inline distT="0" distB="0" distL="0" distR="0">
            <wp:extent cx="2247265" cy="4695825"/>
            <wp:effectExtent l="0" t="0" r="635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51290" cy="470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13940" cy="4733925"/>
            <wp:effectExtent l="0" t="0" r="10160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16756" cy="473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7F1CA">
      <w:pPr>
        <w:pStyle w:val="7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在</w:t>
      </w:r>
      <w:r>
        <w:rPr>
          <w:rFonts w:hint="eastAsia" w:ascii="宋体" w:hAnsi="宋体" w:eastAsia="宋体" w:cs="宋体"/>
          <w:sz w:val="24"/>
        </w:rPr>
        <w:t>微信登陆界面中，点击右下方“允许”后，即可登陆成功，再次跳转到“课程服务”界面中，再次点击“免费加入学习”。</w:t>
      </w:r>
    </w:p>
    <w:p w14:paraId="4FC84877">
      <w:pPr>
        <w:pStyle w:val="7"/>
        <w:spacing w:line="360" w:lineRule="auto"/>
        <w:ind w:firstLine="0" w:firstLineChars="0"/>
        <w:jc w:val="center"/>
        <w:rPr>
          <w:sz w:val="24"/>
        </w:rPr>
      </w:pPr>
      <w:r>
        <w:drawing>
          <wp:inline distT="0" distB="0" distL="0" distR="0">
            <wp:extent cx="1891665" cy="3971925"/>
            <wp:effectExtent l="0" t="0" r="13335" b="952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99696" cy="398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1932940" cy="3952875"/>
            <wp:effectExtent l="0" t="0" r="10160" b="952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9552" cy="3966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014F3F">
      <w:pPr>
        <w:pStyle w:val="7"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点击“免费加入学习”后，即可进入到课程学习界面，按照目录中的顺序学习课程的视频资源即可。</w:t>
      </w:r>
    </w:p>
    <w:p w14:paraId="39B4580E">
      <w:pPr>
        <w:pStyle w:val="7"/>
        <w:spacing w:line="360" w:lineRule="auto"/>
        <w:ind w:firstLine="0" w:firstLineChars="0"/>
        <w:jc w:val="center"/>
        <w:rPr>
          <w:sz w:val="24"/>
        </w:rPr>
      </w:pPr>
      <w:r>
        <w:drawing>
          <wp:inline distT="0" distB="0" distL="0" distR="0">
            <wp:extent cx="1885950" cy="3924935"/>
            <wp:effectExtent l="0" t="0" r="0" b="1841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92266" cy="393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2B484">
      <w:pPr>
        <w:pStyle w:val="7"/>
        <w:spacing w:line="360" w:lineRule="auto"/>
        <w:ind w:firstLine="482" w:firstLineChars="200"/>
        <w:jc w:val="left"/>
        <w:rPr>
          <w:sz w:val="24"/>
        </w:rPr>
      </w:pPr>
      <w:r>
        <w:rPr>
          <w:rFonts w:hint="eastAsia"/>
          <w:b/>
          <w:bCs/>
          <w:sz w:val="24"/>
        </w:rPr>
        <w:t>第四种界面</w:t>
      </w:r>
      <w:r>
        <w:rPr>
          <w:rFonts w:hint="eastAsia"/>
          <w:sz w:val="24"/>
        </w:rPr>
        <w:t>：跳转到“</w:t>
      </w:r>
      <w:r>
        <w:rPr>
          <w:rFonts w:ascii="Times New Roman" w:hAnsi="Times New Roman" w:cs="Times New Roman"/>
          <w:sz w:val="24"/>
        </w:rPr>
        <w:t>bilibili</w:t>
      </w:r>
      <w:r>
        <w:rPr>
          <w:rFonts w:hint="eastAsia"/>
          <w:sz w:val="24"/>
        </w:rPr>
        <w:t>” 的学习界面，</w:t>
      </w:r>
      <w:r>
        <w:rPr>
          <w:rFonts w:hint="eastAsia" w:ascii="宋体" w:hAnsi="宋体" w:eastAsia="宋体" w:cs="宋体"/>
          <w:sz w:val="24"/>
        </w:rPr>
        <w:t>点击课程名称下方的“立即播放”，在弹出的提示框中，可以选择APP或者网页中观看，跳转到课程学习界面。</w:t>
      </w:r>
    </w:p>
    <w:p w14:paraId="014D9277">
      <w:pPr>
        <w:pStyle w:val="7"/>
        <w:spacing w:line="360" w:lineRule="auto"/>
        <w:ind w:firstLine="0" w:firstLineChars="0"/>
        <w:jc w:val="center"/>
        <w:rPr>
          <w:sz w:val="24"/>
        </w:rPr>
      </w:pPr>
      <w:r>
        <w:drawing>
          <wp:inline distT="0" distB="0" distL="0" distR="0">
            <wp:extent cx="1570355" cy="3137535"/>
            <wp:effectExtent l="0" t="0" r="10795" b="571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70355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45920" cy="3167380"/>
            <wp:effectExtent l="0" t="0" r="11430" b="139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41B60">
      <w:pPr>
        <w:pStyle w:val="7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/>
          <w:sz w:val="24"/>
        </w:rPr>
        <w:t>在弹出的课程学习界面，点击右上角“登录”成功后，</w:t>
      </w:r>
      <w:r>
        <w:rPr>
          <w:rFonts w:hint="eastAsia" w:ascii="宋体" w:hAnsi="宋体" w:eastAsia="宋体" w:cs="宋体"/>
          <w:sz w:val="24"/>
        </w:rPr>
        <w:t>按照目录中的顺序学习课程的视频资源即可。</w:t>
      </w:r>
    </w:p>
    <w:p w14:paraId="75533CD0">
      <w:pPr>
        <w:pStyle w:val="7"/>
        <w:spacing w:line="360" w:lineRule="auto"/>
        <w:ind w:firstLine="0" w:firstLineChars="0"/>
        <w:jc w:val="center"/>
        <w:rPr>
          <w:sz w:val="24"/>
        </w:rPr>
      </w:pPr>
      <w:r>
        <w:drawing>
          <wp:inline distT="0" distB="0" distL="0" distR="0">
            <wp:extent cx="2026920" cy="3742055"/>
            <wp:effectExtent l="0" t="0" r="11430" b="1079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C36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8E55D"/>
    <w:multiLevelType w:val="multilevel"/>
    <w:tmpl w:val="5A38E55D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B3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line="360" w:lineRule="auto"/>
      <w:outlineLvl w:val="0"/>
    </w:pPr>
    <w:rPr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360" w:lineRule="auto"/>
      <w:outlineLvl w:val="1"/>
    </w:pPr>
    <w:rPr>
      <w:rFonts w:ascii="Arial" w:hAnsi="Arial" w:eastAsia="宋体"/>
      <w:sz w:val="24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rPr>
      <w:rFonts w:eastAsia="宋体" w:asciiTheme="majorHAnsi" w:hAnsiTheme="majorHAnsi" w:cstheme="majorBidi"/>
      <w:sz w:val="20"/>
      <w:szCs w:val="20"/>
    </w:rPr>
  </w:style>
  <w:style w:type="paragraph" w:styleId="6">
    <w:name w:val="Body Text"/>
    <w:basedOn w:val="1"/>
    <w:qFormat/>
    <w:uiPriority w:val="0"/>
  </w:style>
  <w:style w:type="paragraph" w:styleId="7">
    <w:name w:val="Body Text First Indent"/>
    <w:basedOn w:val="6"/>
    <w:qFormat/>
    <w:uiPriority w:val="0"/>
    <w:pPr>
      <w:ind w:firstLine="420" w:firstLineChars="100"/>
    </w:pPr>
  </w:style>
  <w:style w:type="character" w:styleId="10">
    <w:name w:val="Hyperlink"/>
    <w:basedOn w:val="9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9" Type="http://schemas.openxmlformats.org/officeDocument/2006/relationships/fontTable" Target="fontTable.xml"/><Relationship Id="rId48" Type="http://schemas.openxmlformats.org/officeDocument/2006/relationships/numbering" Target="numbering.xml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2025-04-09T02:06:34Z</dcterms:created>
  <dc:creator>Administrator</dc:creator>
  <cp:lastModifiedBy>刘吉雨</cp:lastModifiedBy>
  <dcterms:modified xsi:type="dcterms:W3CDTF">2025-04-09T02:10:41Z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eyJoZGlkIjoiZjBmNGM0OWU0NjI4ODI3YTFhOTk0YmVhZGQ5MTU0MGQiLCJ1c2VySWQiOiIzODU4ODQyNjgifQ==</vt:lpwstr>
  </property>
  <property fmtid="{D5CDD505-2E9C-101B-9397-08002B2CF9AE}" pid="4" name="ICV">
    <vt:lpwstr>76AD9CCA135042CA980AFEE668BC4645_12</vt:lpwstr>
  </property>
</Properties>
</file>