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河海大学收费服务管理系统使用手册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（校外付费用户使用）</w:t>
      </w:r>
    </w:p>
    <w:p>
      <w:pPr>
        <w:jc w:val="center"/>
      </w:pPr>
    </w:p>
    <w:p>
      <w:pPr>
        <w:jc w:val="center"/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1. 使用前准备</w:t>
      </w:r>
    </w:p>
    <w:p>
      <w:pPr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在进入系统之前，请对浏览器进行设置，如果浏览器为IE 6.0以下版本，请先进行IE升级。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本系统支持IE、Firefox等主流浏览器。</w:t>
      </w:r>
      <w:r>
        <w:rPr>
          <w:rFonts w:asciiTheme="majorEastAsia" w:hAnsiTheme="majorEastAsia" w:eastAsiaTheme="majorEastAsia"/>
          <w:sz w:val="24"/>
          <w:szCs w:val="24"/>
        </w:rPr>
        <w:t xml:space="preserve">IE </w:t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6 </w:t>
      </w:r>
      <w:r>
        <w:rPr>
          <w:rFonts w:asciiTheme="majorEastAsia" w:hAnsiTheme="majorEastAsia" w:eastAsiaTheme="majorEastAsia"/>
          <w:sz w:val="24"/>
          <w:szCs w:val="24"/>
        </w:rPr>
        <w:t xml:space="preserve">以上 </w:t>
      </w:r>
      <w:r>
        <w:rPr>
          <w:rFonts w:hint="eastAsia" w:asciiTheme="majorEastAsia" w:hAnsiTheme="majorEastAsia" w:eastAsiaTheme="majorEastAsia"/>
          <w:sz w:val="24"/>
          <w:szCs w:val="24"/>
        </w:rPr>
        <w:t>，</w:t>
      </w:r>
      <w:r>
        <w:rPr>
          <w:rFonts w:asciiTheme="majorEastAsia" w:hAnsiTheme="majorEastAsia" w:eastAsiaTheme="majorEastAsia"/>
          <w:sz w:val="24"/>
          <w:szCs w:val="24"/>
        </w:rPr>
        <w:t>Firefox 2.0</w:t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 </w:t>
      </w:r>
      <w:r>
        <w:rPr>
          <w:rFonts w:asciiTheme="majorEastAsia" w:hAnsiTheme="majorEastAsia" w:eastAsiaTheme="majorEastAsia"/>
          <w:sz w:val="24"/>
          <w:szCs w:val="24"/>
        </w:rPr>
        <w:t>以上</w:t>
      </w:r>
      <w:r>
        <w:rPr>
          <w:rFonts w:hint="eastAsia" w:asciiTheme="majorEastAsia" w:hAnsiTheme="majorEastAsia" w:eastAsiaTheme="majorEastAsia"/>
          <w:sz w:val="24"/>
          <w:szCs w:val="24"/>
        </w:rPr>
        <w:t>。</w:t>
      </w:r>
    </w:p>
    <w:p>
      <w:pPr>
        <w:jc w:val="left"/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2. 登录主页面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点击网址：</w:t>
      </w:r>
      <w:r>
        <w:fldChar w:fldCharType="begin"/>
      </w:r>
      <w:r>
        <w:instrText xml:space="preserve"> HYPERLINK "http://pay.hhu.edu.cn/" </w:instrText>
      </w:r>
      <w:r>
        <w:fldChar w:fldCharType="separate"/>
      </w:r>
      <w:r>
        <w:rPr>
          <w:rStyle w:val="10"/>
          <w:rFonts w:asciiTheme="majorEastAsia" w:hAnsiTheme="majorEastAsia" w:eastAsiaTheme="majorEastAsia"/>
          <w:sz w:val="24"/>
          <w:szCs w:val="24"/>
        </w:rPr>
        <w:t>http://pay.hhu.edu.cn/</w:t>
      </w:r>
      <w:r>
        <w:rPr>
          <w:rStyle w:val="10"/>
          <w:rFonts w:asciiTheme="majorEastAsia" w:hAnsiTheme="majorEastAsia" w:eastAsiaTheme="majorEastAsia"/>
          <w:sz w:val="24"/>
          <w:szCs w:val="24"/>
        </w:rPr>
        <w:fldChar w:fldCharType="end"/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 ，进入校园支付通收费平台首页。如图1所示。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</w:p>
    <w:p>
      <w:pPr>
        <w:jc w:val="center"/>
      </w:pPr>
      <w:r>
        <w:drawing>
          <wp:inline distT="0" distB="0" distL="0" distR="0">
            <wp:extent cx="5274310" cy="3394075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图1（校园支付通收费平台首页）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3. 进入校外用户登录页面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点击校园支付通收费平台首页右上角“校外支付码支付”，进入校外用户登录页面。如图2、图3所示。</w:t>
      </w:r>
    </w:p>
    <w:p>
      <w:pPr>
        <w:jc w:val="left"/>
        <w:rPr>
          <w:rFonts w:asciiTheme="majorEastAsia" w:hAnsiTheme="majorEastAsia" w:eastAsiaTheme="majorEastAsia"/>
          <w:sz w:val="24"/>
          <w:szCs w:val="24"/>
        </w:rPr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pict>
          <v:shape id="_x0000_s1083" o:spid="_x0000_s1083" o:spt="48" type="#_x0000_t48" style="position:absolute;left:0pt;margin-left:167.85pt;margin-top:-4.2pt;height:23.45pt;width:168.5pt;z-index:251719680;mso-width-relative:page;mso-height-relative:page;" stroked="t" coordsize="21600,21600" adj="26849,36706,25048,8290,22369,8290,18094,-104500">
            <v:path arrowok="t"/>
            <v:fill focussize="0,0"/>
            <v:stroke weight="2pt" color="#FF0000" joinstyle="miter"/>
            <v:imagedata o:title=""/>
            <o:lock v:ext="edit"/>
            <o:callout minusx="t"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点击此处进入校外用户登录页面   </w:t>
                  </w:r>
                </w:p>
                <w:p/>
              </w:txbxContent>
            </v:textbox>
          </v:shape>
        </w:pict>
      </w:r>
    </w:p>
    <w:p>
      <w:pPr>
        <w:jc w:val="left"/>
      </w:pPr>
      <w:r>
        <w:pict>
          <v:rect id="_x0000_s1029" o:spid="_x0000_s1029" o:spt="1" style="position:absolute;left:0pt;margin-left:360.6pt;margin-top:21.3pt;height:15.75pt;width:40.5pt;z-index:251658240;mso-width-relative:page;mso-height-relative:page;" stroked="t" coordsize="21600,21600">
            <v:path/>
            <v:fill opacity="0f" focussize="0,0"/>
            <v:stroke weight="2.2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drawing>
          <wp:inline distT="0" distB="0" distL="0" distR="0">
            <wp:extent cx="5274310" cy="341630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297878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图3（校外用户登录页面）</w:t>
      </w:r>
    </w:p>
    <w:p>
      <w:pPr>
        <w:jc w:val="left"/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4. 用户登录付款平台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进入校外用户登录页面后，用户有两种方式登录付款平台。</w:t>
      </w:r>
    </w:p>
    <w:p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4.1 支付码登录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用户的每一笔待缴费用都会在系统中生成一个唯一的支付码，凭此支付码登录可直接进入该笔待缴费用的付款平台。如图4、图5所示。</w:t>
      </w:r>
    </w:p>
    <w:p>
      <w:pPr>
        <w:jc w:val="left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2" o:spid="_x0000_s1082" o:spt="48" type="#_x0000_t48" style="position:absolute;left:0pt;margin-left:281.8pt;margin-top:57.4pt;height:24.1pt;width:110.45pt;z-index:251718656;mso-width-relative:page;mso-height-relative:page;" stroked="t" coordsize="21600,21600" adj="-17200,37374,-6033,8066,-1173,8066,-55452,50370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1.在此处输入支付码  </w:t>
                  </w:r>
                </w:p>
                <w:p/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1" o:spid="_x0000_s1081" o:spt="48" type="#_x0000_t48" style="position:absolute;left:0pt;margin-left:281.45pt;margin-top:143.5pt;height:38.2pt;width:94pt;z-index:251717632;mso-width-relative:page;mso-height-relative:page;" stroked="t" coordsize="21600,21600" adj="-24047,28272,-6940,5089,-1379,5089,-71108,38846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2.输入支付码后，点击此处登录     </w:t>
                  </w:r>
                </w:p>
                <w:p/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31" o:spid="_x0000_s1031" o:spt="202" type="#_x0000_t202" style="position:absolute;left:0pt;margin-left:87.5pt;margin-top:88.95pt;height:24.75pt;width:119.5pt;z-index:251658240;mso-width-relative:margin;mso-height-relative:margin;" stroked="f" coordsize="21600,21600">
            <v:path/>
            <v:fill opacity="0f" focussize="0,0"/>
            <v:stroke on="f" color="#FFFFFF" joinstyle="miter"/>
            <v:imagedata o:title=""/>
            <o:lock v:ext="edit"/>
            <v:textbox>
              <w:txbxContent>
                <w:p>
                  <w:pPr>
                    <w:widowControl/>
                    <w:rPr>
                      <w:rFonts w:ascii="宋体" w:hAnsi="宋体" w:eastAsia="宋体" w:cs="Arial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Arial"/>
                      <w:kern w:val="0"/>
                      <w:sz w:val="24"/>
                      <w:szCs w:val="24"/>
                    </w:rPr>
                    <w:t xml:space="preserve">7DD37002A66C11BX    </w:t>
                  </w:r>
                </w:p>
                <w:p/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3238500" cy="2857500"/>
            <wp:effectExtent l="19050" t="0" r="0" b="0"/>
            <wp:docPr id="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eastAsia="宋体" w:cs="Times New Roman"/>
          <w:b/>
          <w:bCs/>
          <w:sz w:val="32"/>
          <w:szCs w:val="32"/>
        </w:rPr>
        <w:t xml:space="preserve"> </w:t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图4（支付码登录界面）</w:t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left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42" o:spid="_x0000_s1042" o:spt="202" type="#_x0000_t202" style="position:absolute;left:0pt;margin-left:237pt;margin-top:242.1pt;height:19pt;width:32.25pt;z-index:251679744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***</w:t>
                  </w:r>
                </w:p>
              </w:txbxContent>
            </v:textbox>
          </v:shape>
        </w:pict>
      </w:r>
      <w:r>
        <w:rPr>
          <w:rFonts w:hint="eastAsia"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3336290"/>
            <wp:effectExtent l="19050" t="0" r="2540" b="0"/>
            <wp:docPr id="8" name="图片 5" descr="QQ图片20160511110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QQ图片20160511110624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图5 （付款平台界面）</w:t>
      </w: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</w:p>
    <w:p>
      <w:pPr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4.2 查询登录</w:t>
      </w:r>
    </w:p>
    <w:p>
      <w:pPr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通过人员编号和姓名查询待付款项目，点击项目中的支付码进入上图5所示付款平台界面。如图6、图7所示。</w:t>
      </w:r>
    </w:p>
    <w:p>
      <w:pPr>
        <w:jc w:val="left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  <w:r>
        <w:pict>
          <v:shape id="_x0000_s1080" o:spid="_x0000_s1080" o:spt="48" type="#_x0000_t48" style="position:absolute;left:0pt;margin-left:-12.15pt;margin-top:174.2pt;height:58.9pt;width:81.2pt;z-index:251716608;mso-width-relative:page;mso-height-relative:page;" stroked="t" coordsize="21600,21600" adj="33038,20096,29088,3301,23196,3301,14325,-41605">
            <v:path arrowok="t"/>
            <v:fill focussize="0,0"/>
            <v:stroke weight="2pt" color="#FF0000" joinstyle="miter"/>
            <v:imagedata o:title=""/>
            <o:lock v:ext="edit"/>
            <o:callout minusx="t"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1.点击此处输入人员编号，即身份证号码  </w:t>
                  </w:r>
                </w:p>
                <w:p/>
              </w:txbxContent>
            </v:textbox>
          </v:shape>
        </w:pict>
      </w:r>
      <w:r>
        <w:pict>
          <v:shape id="_x0000_s1078" o:spid="_x0000_s1078" o:spt="48" type="#_x0000_t48" style="position:absolute;left:0pt;margin-left:355.6pt;margin-top:165.4pt;height:38.2pt;width:68pt;z-index:251714560;mso-width-relative:page;mso-height-relative:page;" stroked="t" coordsize="21600,21600" adj="-14628,36839,-4574,5089,-1906,5089,-76759,45038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2.点击此处输入姓名    </w:t>
                  </w:r>
                </w:p>
                <w:p/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3190875" cy="3333750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9" o:spid="_x0000_s1079" o:spt="48" type="#_x0000_t48" style="position:absolute;left:0pt;margin-left:256.8pt;margin-top:6.55pt;height:24pt;width:92pt;z-index:251715584;mso-width-relative:page;mso-height-relative:page;" stroked="t" coordsize="21600,21600" adj="-8570,-16110,-4167,8100,-1409,8100,-19311,46665">
            <v:path arrowok="t"/>
            <v:fill focussize="0,0"/>
            <v:stroke weight="2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3.点击此处查询   </w:t>
                  </w:r>
                </w:p>
              </w:txbxContent>
            </v:textbox>
          </v:shape>
        </w:pict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图6（查询登录界面）</w:t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left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7" o:spid="_x0000_s1077" o:spt="48" type="#_x0000_t48" style="position:absolute;left:0pt;margin-left:361.15pt;margin-top:2.45pt;height:38.2pt;width:68pt;z-index:251713536;mso-width-relative:page;mso-height-relative:page;" stroked="t" coordsize="21600,21600" adj="-10911,33983,-7258,5089,-1906,5089,-73043,42182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4.点击进入付款平台    </w:t>
                  </w:r>
                </w:p>
                <w:p/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56" o:spid="_x0000_s1056" o:spt="202" type="#_x0000_t202" style="position:absolute;left:0pt;margin-left:285.4pt;margin-top:64.85pt;height:48.55pt;width:85.85pt;z-index:251657216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1483995"/>
            <wp:effectExtent l="19050" t="0" r="2540" b="0"/>
            <wp:docPr id="9" name="图片 8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1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图7（待支付项目）</w:t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left"/>
        <w:rPr>
          <w:rFonts w:cs="Times New Roman" w:asciiTheme="majorEastAsia" w:hAnsiTheme="majorEastAsia" w:eastAsiaTheme="majorEastAsia"/>
          <w:bCs/>
          <w:sz w:val="24"/>
          <w:szCs w:val="24"/>
        </w:rPr>
      </w:pPr>
    </w:p>
    <w:p>
      <w:pPr>
        <w:jc w:val="left"/>
        <w:rPr>
          <w:rFonts w:cs="Times New Roman" w:asciiTheme="majorEastAsia" w:hAnsiTheme="majorEastAsia" w:eastAsiaTheme="majorEastAsia"/>
          <w:bCs/>
          <w:sz w:val="24"/>
          <w:szCs w:val="24"/>
        </w:rPr>
      </w:pPr>
    </w:p>
    <w:p>
      <w:pPr>
        <w:jc w:val="left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5. 在线支付</w:t>
      </w:r>
    </w:p>
    <w:p>
      <w:pPr>
        <w:ind w:firstLine="480" w:firstLineChars="200"/>
        <w:jc w:val="left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用户进入付款平台，核对付款信息，核对无误后点击“全额支付”，进入在线支付页面，选择您适用的支付方式进行付款（请根据提示安装控件）。如图8、图9所示。</w:t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4" o:spid="_x0000_s1074" o:spt="48" type="#_x0000_t48" style="position:absolute;left:0pt;margin-left:190.05pt;margin-top:222.05pt;height:38.2pt;width:82.75pt;z-index:251710464;mso-width-relative:page;mso-height-relative:page;" stroked="t" coordsize="21600,21600" adj="-12464,24597,-6969,5089,-1566,5089,-24406,64037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点击此处进入在线支付页面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5" o:spid="_x0000_s1075" o:spt="202" type="#_x0000_t202" style="position:absolute;left:0pt;margin-left:63.65pt;margin-top:266.95pt;height:22.3pt;width:94.15pt;z-index:251711488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hint="eastAsia"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3733165"/>
            <wp:effectExtent l="19050" t="0" r="2540" b="0"/>
            <wp:docPr id="11" name="图片 1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2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图8（付款平台界面）</w:t>
      </w: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6" o:spid="_x0000_s1076" o:spt="48" type="#_x0000_t48" style="position:absolute;left:0pt;margin-left:-51.75pt;margin-top:109.9pt;height:52.85pt;width:60pt;z-index:251712512;mso-width-relative:page;mso-height-relative:page;" stroked="t" coordsize="21600,21600" adj="32652,-4291,28188,3678,23760,3678,29322,511">
            <v:path arrowok="t"/>
            <v:fill focussize="0,0"/>
            <v:stroke weight="2pt" color="#FF0000" joinstyle="miter"/>
            <v:imagedata o:title=""/>
            <o:lock v:ext="edit"/>
            <o:callout minusx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3种支付方式可供选择    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3" o:spid="_x0000_s1073" o:spt="48" type="#_x0000_t48" style="position:absolute;left:0pt;margin-left:170.75pt;margin-top:187.35pt;height:24pt;width:61.75pt;z-index:251709440;mso-width-relative:page;mso-height-relative:page;" stroked="t" coordsize="21600,21600" adj="-12768,-4050,-7381,8100,-2099,8100,-28771,58725">
            <v:path arrowok="t"/>
            <v:fill focussize="0,0"/>
            <v:stroke weight="2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操作演示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67" o:spid="_x0000_s1067" o:spt="202" type="#_x0000_t202" style="position:absolute;left:0pt;margin-left:88.5pt;margin-top:175.4pt;height:16.6pt;width:43.5pt;z-index:251703296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63" o:spid="_x0000_s1063" o:spt="202" type="#_x0000_t202" style="position:absolute;left:0pt;margin-left:20.4pt;margin-top:74.15pt;height:21.1pt;width:161.6pt;z-index:251699200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2664460"/>
            <wp:effectExtent l="1905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图9（在线支付页面）</w:t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5.1银联卡支付（仅支持借记卡支付）。流程如图10-图12所示。</w:t>
      </w:r>
    </w:p>
    <w:p>
      <w:pPr>
        <w:rPr>
          <w:rFonts w:ascii="Cambria" w:hAnsi="Cambria" w:eastAsia="宋体" w:cs="Times New Roman"/>
          <w:b/>
          <w:bCs/>
          <w:szCs w:val="21"/>
        </w:rPr>
      </w:pP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70" o:spid="_x0000_s1070" o:spt="48" type="#_x0000_t48" style="position:absolute;left:0pt;margin-left:182pt;margin-top:108.75pt;height:24pt;width:82.75pt;z-index:251706368;mso-width-relative:page;mso-height-relative:page;" stroked="t" coordsize="21600,21600" adj="-12464,39150,-6969,8100,-1566,8100,-24406,101925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输入银联卡号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68" o:spid="_x0000_s1068" o:spt="202" type="#_x0000_t202" style="position:absolute;left:0pt;margin-left:26.35pt;margin-top:154.5pt;height:21.1pt;width:161.6pt;z-index:251704320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hint="eastAsia"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2800350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图10</w:t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7" o:spid="_x0000_s1087" o:spt="47" type="#_x0000_t47" style="position:absolute;left:0pt;margin-left:255.05pt;margin-top:286.9pt;height:23.25pt;width:96.6pt;z-index:251722752;mso-width-relative:page;mso-height-relative:page;" stroked="t" coordsize="21600,21600" adj="-27358,8361,-1342,8361,-28845,4227,-27358,8361">
            <v:path arrowok="t"/>
            <v:fill focussize="0,0"/>
            <v:stroke weight="2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点击开通并付款 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5" o:spid="_x0000_s1085" o:spt="48" type="#_x0000_t48" style="position:absolute;left:0pt;margin-left:269.15pt;margin-top:110pt;height:71.2pt;width:139.85pt;z-index:251721728;mso-width-relative:page;mso-height-relative:page;" stroked="t" coordsize="21600,21600" adj="-9537,17413,-4672,2730,-927,2730,-9537,17413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 xml:space="preserve">输入银行卡信息：         </w:t>
                  </w:r>
                </w:p>
                <w:p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（部分银行借记卡需先到</w:t>
                  </w:r>
                  <w:r>
                    <w:rPr>
                      <w:rFonts w:hint="eastAsia"/>
                      <w:b/>
                      <w:color w:val="FF0000"/>
                    </w:rPr>
                    <w:t>银行网银</w:t>
                  </w:r>
                  <w:r>
                    <w:rPr>
                      <w:rFonts w:hint="eastAsia"/>
                      <w:color w:val="FF0000"/>
                    </w:rPr>
                    <w:t>或</w:t>
                  </w:r>
                  <w:r>
                    <w:rPr>
                      <w:rFonts w:hint="eastAsia"/>
                      <w:b/>
                      <w:color w:val="FF0000"/>
                    </w:rPr>
                    <w:t>银行营业网点</w:t>
                  </w:r>
                  <w:r>
                    <w:rPr>
                      <w:rFonts w:hint="eastAsia"/>
                      <w:color w:val="FF0000"/>
                    </w:rPr>
                    <w:t xml:space="preserve">开通银联无卡支付业务   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4" o:spid="_x0000_s1084" o:spt="202" type="#_x0000_t202" style="position:absolute;left:0pt;margin-left:30.3pt;margin-top:117.25pt;height:198.8pt;width:175.2pt;z-index:251720704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hint="eastAsia"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3863975"/>
            <wp:effectExtent l="1905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图11</w:t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91" o:spid="_x0000_s1091" o:spt="202" type="#_x0000_t202" style="position:absolute;left:0pt;margin-left:57.8pt;margin-top:56.9pt;height:23.45pt;width:100.8pt;z-index:251726848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90" o:spid="_x0000_s1090" o:spt="47" type="#_x0000_t47" style="position:absolute;left:0pt;margin-left:217.6pt;margin-top:41.8pt;height:23.25pt;width:62.25pt;z-index:251725824;mso-width-relative:page;mso-height-relative:page;" stroked="t" coordsize="21600,21600" adj="-19206,22390,-2082,8361,-21513,18255,-19206,22390">
            <v:path arrowok="t"/>
            <v:fill focussize="0,0"/>
            <v:stroke weight="2pt" color="#FF0000" joinstyle="miter"/>
            <v:imagedata o:title=""/>
            <o:lock v:ext="edit"/>
            <o:callout minusy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支付成功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89" o:spid="_x0000_s1089" o:spt="202" type="#_x0000_t202" style="position:absolute;left:0pt;margin-left:114.6pt;margin-top:56.9pt;height:19.25pt;width:44pt;z-index:251724800;mso-width-relative:margin;mso-height-relative:margin;" stroked="f" coordsize="21600,21600">
            <v:path/>
            <v:fill opacity="0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E36C09" w:themeColor="accent6" w:themeShade="BF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E36C09" w:themeColor="accent6" w:themeShade="BF"/>
                      <w:sz w:val="16"/>
                      <w:szCs w:val="16"/>
                    </w:rPr>
                    <w:t xml:space="preserve">260.00     </w:t>
                  </w:r>
                </w:p>
              </w:txbxContent>
            </v:textbox>
          </v:shape>
        </w:pict>
      </w:r>
      <w:r>
        <w:rPr>
          <w:rFonts w:hint="eastAsia"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2589530"/>
            <wp:effectExtent l="19050" t="0" r="2540" b="0"/>
            <wp:docPr id="14" name="图片 1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3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图12</w:t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cs="Times New Roman" w:asciiTheme="minorEastAsia" w:hAnsi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/>
          <w:bCs/>
          <w:sz w:val="24"/>
          <w:szCs w:val="24"/>
        </w:rPr>
        <w:t>5.2 网银支付。如图13所示。</w:t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93" o:spid="_x0000_s1093" o:spt="48" type="#_x0000_t48" style="position:absolute;left:0pt;margin-left:313.5pt;margin-top:218.7pt;height:42pt;width:88.5pt;z-index:251728896;mso-width-relative:page;mso-height-relative:page;" stroked="t" coordsize="21600,21600" adj="-14461,-11957,-6883,4629,-1464,4629,-13729,22371">
            <v:path arrowok="t"/>
            <v:fill focussize="0,0"/>
            <v:stroke weight="2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根据实际情况选择付款银行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94" o:spid="_x0000_s1094" o:spt="48" type="#_x0000_t48" style="position:absolute;left:0pt;margin-left:21pt;margin-top:236.7pt;height:42pt;width:81.75pt;z-index:251729920;mso-width-relative:page;mso-height-relative:page;" stroked="t" coordsize="21600,21600" adj="40188,-13500,30280,4629,23185,4629,13039,22371">
            <v:path arrowok="t"/>
            <v:fill focussize="0,0"/>
            <v:stroke weight="2pt" color="#FF0000" joinstyle="miter"/>
            <v:imagedata o:title=""/>
            <o:lock v:ext="edit"/>
            <o:callout minusx="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点击进入网上银行支付页面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pict>
          <v:shape id="_x0000_s1092" o:spid="_x0000_s1092" o:spt="202" type="#_x0000_t202" style="position:absolute;left:0pt;margin-left:24.95pt;margin-top:108.75pt;height:84.55pt;width:355.75pt;z-index:251727872;mso-width-relative:margin;mso-height-relative:margin;" stroked="t" coordsize="21600,21600">
            <v:path/>
            <v:fill opacity="0f" focussize="0,0"/>
            <v:stroke weight="1.5pt" color="#FF0000" joinstyle="miter"/>
            <v:imagedata o:title=""/>
            <o:lock v:ext="edit"/>
            <v:textbox>
              <w:txbxContent>
                <w:p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                                                                    </w:t>
                  </w:r>
                </w:p>
              </w:txbxContent>
            </v:textbox>
          </v:shape>
        </w:pict>
      </w:r>
      <w:r>
        <w:rPr>
          <w:rFonts w:ascii="Cambria" w:hAnsi="Cambria" w:eastAsia="宋体" w:cs="Times New Roman"/>
          <w:b/>
          <w:bCs/>
          <w:sz w:val="32"/>
          <w:szCs w:val="32"/>
        </w:rPr>
        <w:drawing>
          <wp:inline distT="0" distB="0" distL="0" distR="0">
            <wp:extent cx="5274310" cy="3001645"/>
            <wp:effectExtent l="1905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mbria" w:hAnsi="Cambria" w:eastAsia="宋体" w:cs="Times New Roman"/>
          <w:b/>
          <w:bCs/>
          <w:sz w:val="32"/>
          <w:szCs w:val="32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  <w:r>
        <w:rPr>
          <w:rFonts w:hint="eastAsia" w:cs="Times New Roman" w:asciiTheme="minorEastAsia" w:hAnsiTheme="minorEastAsia"/>
          <w:bCs/>
          <w:szCs w:val="21"/>
        </w:rPr>
        <w:t>图13</w:t>
      </w: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jc w:val="center"/>
        <w:rPr>
          <w:rFonts w:cs="Times New Roman" w:asciiTheme="minorEastAsia" w:hAnsiTheme="minorEastAsia"/>
          <w:bCs/>
          <w:szCs w:val="21"/>
        </w:rPr>
      </w:pPr>
    </w:p>
    <w:p>
      <w:pPr>
        <w:rPr>
          <w:rFonts w:cs="Times New Roman" w:asciiTheme="minorEastAsia" w:hAnsiTheme="minorEastAsia"/>
          <w:b/>
          <w:bCs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814762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464"/>
    <w:rsid w:val="00092536"/>
    <w:rsid w:val="000A48CB"/>
    <w:rsid w:val="000A6109"/>
    <w:rsid w:val="000B0573"/>
    <w:rsid w:val="000B7B50"/>
    <w:rsid w:val="001663BF"/>
    <w:rsid w:val="00190E3C"/>
    <w:rsid w:val="00231332"/>
    <w:rsid w:val="00352A68"/>
    <w:rsid w:val="003B1A2B"/>
    <w:rsid w:val="004D1AE7"/>
    <w:rsid w:val="004E5B7C"/>
    <w:rsid w:val="004E6871"/>
    <w:rsid w:val="00576050"/>
    <w:rsid w:val="006A1D5E"/>
    <w:rsid w:val="006A615F"/>
    <w:rsid w:val="00700971"/>
    <w:rsid w:val="007155D9"/>
    <w:rsid w:val="00743FC3"/>
    <w:rsid w:val="00746280"/>
    <w:rsid w:val="00784733"/>
    <w:rsid w:val="007A3464"/>
    <w:rsid w:val="007F6A5F"/>
    <w:rsid w:val="00927CA1"/>
    <w:rsid w:val="00960D91"/>
    <w:rsid w:val="00A30F55"/>
    <w:rsid w:val="00A43139"/>
    <w:rsid w:val="00B32C59"/>
    <w:rsid w:val="00BF4607"/>
    <w:rsid w:val="00DB5542"/>
    <w:rsid w:val="00E60161"/>
    <w:rsid w:val="00EA759A"/>
    <w:rsid w:val="00F45782"/>
    <w:rsid w:val="00F633FA"/>
    <w:rsid w:val="0F83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allout" idref="#_x0000_s1070"/>
        <o:r id="V:Rule2" type="callout" idref="#_x0000_s1073"/>
        <o:r id="V:Rule3" type="callout" idref="#_x0000_s1074"/>
        <o:r id="V:Rule4" type="callout" idref="#_x0000_s1076"/>
        <o:r id="V:Rule5" type="callout" idref="#_x0000_s1077"/>
        <o:r id="V:Rule6" type="callout" idref="#_x0000_s1078"/>
        <o:r id="V:Rule7" type="callout" idref="#_x0000_s1079"/>
        <o:r id="V:Rule8" type="callout" idref="#_x0000_s1080"/>
        <o:r id="V:Rule9" type="callout" idref="#_x0000_s1081"/>
        <o:r id="V:Rule10" type="callout" idref="#_x0000_s1082"/>
        <o:r id="V:Rule11" type="callout" idref="#_x0000_s1083"/>
        <o:r id="V:Rule12" type="callout" idref="#_x0000_s1085"/>
        <o:r id="V:Rule13" type="callout" idref="#_x0000_s1087"/>
        <o:r id="V:Rule14" type="callout" idref="#_x0000_s1090"/>
        <o:r id="V:Rule15" type="callout" idref="#_x0000_s1093"/>
        <o:r id="V:Rule16" type="callout" idref="#_x0000_s109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uiPriority w:val="99"/>
    <w:rPr>
      <w:color w:val="0000FF" w:themeColor="hyperlink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7"/>
    <w:link w:val="2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4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5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3"/>
    <customShpInfo spid="_x0000_s1029"/>
    <customShpInfo spid="_x0000_s1082"/>
    <customShpInfo spid="_x0000_s1081"/>
    <customShpInfo spid="_x0000_s1031"/>
    <customShpInfo spid="_x0000_s1042"/>
    <customShpInfo spid="_x0000_s1080"/>
    <customShpInfo spid="_x0000_s1078"/>
    <customShpInfo spid="_x0000_s1079"/>
    <customShpInfo spid="_x0000_s1077"/>
    <customShpInfo spid="_x0000_s1056"/>
    <customShpInfo spid="_x0000_s1074"/>
    <customShpInfo spid="_x0000_s1075"/>
    <customShpInfo spid="_x0000_s1076"/>
    <customShpInfo spid="_x0000_s1073"/>
    <customShpInfo spid="_x0000_s1067"/>
    <customShpInfo spid="_x0000_s1063"/>
    <customShpInfo spid="_x0000_s1070"/>
    <customShpInfo spid="_x0000_s1068"/>
    <customShpInfo spid="_x0000_s1087"/>
    <customShpInfo spid="_x0000_s1085"/>
    <customShpInfo spid="_x0000_s1084"/>
    <customShpInfo spid="_x0000_s1091"/>
    <customShpInfo spid="_x0000_s1090"/>
    <customShpInfo spid="_x0000_s1089"/>
    <customShpInfo spid="_x0000_s1093"/>
    <customShpInfo spid="_x0000_s1094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690</Characters>
  <Lines>5</Lines>
  <Paragraphs>1</Paragraphs>
  <TotalTime>367</TotalTime>
  <ScaleCrop>false</ScaleCrop>
  <LinksUpToDate>false</LinksUpToDate>
  <CharactersWithSpaces>809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2016-05-11T01:55:00Z</dcterms:created>
  <dc:creator>intel</dc:creator>
  <cp:lastModifiedBy>随风</cp:lastModifiedBy>
  <dcterms:modified xsi:type="dcterms:W3CDTF">2020-10-08T10:42:06Z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