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73D5F">
      <w:pPr>
        <w:spacing w:line="440" w:lineRule="exact"/>
        <w:ind w:right="420"/>
        <w:rPr>
          <w:rFonts w:hint="eastAsia"/>
          <w:b/>
          <w:bCs w:val="0"/>
          <w:sz w:val="21"/>
          <w:szCs w:val="21"/>
          <w:lang w:val="en-US" w:eastAsia="zh-CN"/>
        </w:rPr>
      </w:pPr>
      <w:r>
        <w:rPr>
          <w:rFonts w:hint="eastAsia"/>
          <w:b/>
          <w:bCs w:val="0"/>
          <w:sz w:val="21"/>
          <w:szCs w:val="21"/>
          <w:lang w:val="en-US" w:eastAsia="zh-CN"/>
        </w:rPr>
        <w:t>附录</w:t>
      </w:r>
    </w:p>
    <w:p w14:paraId="7127C10C">
      <w:pPr>
        <w:jc w:val="center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实验报告</w:t>
      </w:r>
    </w:p>
    <w:p w14:paraId="3CEAEBE2">
      <w:pPr>
        <w:jc w:val="center"/>
        <w:rPr>
          <w:rFonts w:hint="eastAsia"/>
          <w:b/>
          <w:bCs/>
          <w:sz w:val="21"/>
          <w:szCs w:val="21"/>
          <w:lang w:val="en-US" w:eastAsia="zh-CN"/>
        </w:rPr>
      </w:pPr>
    </w:p>
    <w:p w14:paraId="172FD45A">
      <w:pPr>
        <w:jc w:val="left"/>
        <w:rPr>
          <w:rFonts w:hint="eastAsia" w:ascii="方正楷体_GB2312" w:hAnsi="方正楷体_GB2312" w:eastAsia="方正楷体_GB2312" w:cs="方正楷体_GB2312"/>
          <w:b w:val="0"/>
          <w:bCs w:val="0"/>
          <w:sz w:val="24"/>
          <w:szCs w:val="24"/>
          <w:u w:val="singl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z w:val="24"/>
          <w:szCs w:val="24"/>
          <w:lang w:val="en-US" w:eastAsia="zh-CN"/>
        </w:rPr>
        <w:t>实验名称：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4"/>
          <w:szCs w:val="24"/>
          <w:u w:val="single"/>
          <w:lang w:val="en-US" w:eastAsia="zh-CN"/>
        </w:rPr>
        <w:t xml:space="preserve">   盐酸溶液的配制与滴定                                                          </w:t>
      </w:r>
    </w:p>
    <w:p w14:paraId="53FDD9A3">
      <w:pPr>
        <w:jc w:val="left"/>
        <w:rPr>
          <w:rFonts w:hint="eastAsia" w:ascii="方正楷体_GB2312" w:hAnsi="方正楷体_GB2312" w:eastAsia="方正楷体_GB2312" w:cs="方正楷体_GB2312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z w:val="24"/>
          <w:szCs w:val="24"/>
          <w:u w:val="none"/>
          <w:lang w:val="en-US" w:eastAsia="zh-CN"/>
        </w:rPr>
        <w:t>日    期：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4"/>
          <w:szCs w:val="24"/>
          <w:u w:val="none"/>
          <w:lang w:val="en-US" w:eastAsia="zh-CN"/>
        </w:rPr>
        <w:t xml:space="preserve">              </w:t>
      </w:r>
    </w:p>
    <w:p w14:paraId="614AA54E">
      <w:pPr>
        <w:jc w:val="left"/>
        <w:rPr>
          <w:rFonts w:hint="eastAsia" w:ascii="方正楷体_GB2312" w:hAnsi="方正楷体_GB2312" w:eastAsia="方正楷体_GB2312" w:cs="方正楷体_GB2312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z w:val="24"/>
          <w:szCs w:val="24"/>
          <w:u w:val="none"/>
          <w:lang w:val="en-US" w:eastAsia="zh-CN"/>
        </w:rPr>
        <w:t>姓    名：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4"/>
          <w:szCs w:val="24"/>
          <w:u w:val="none"/>
          <w:lang w:val="en-US" w:eastAsia="zh-CN"/>
        </w:rPr>
        <w:t xml:space="preserve">              </w:t>
      </w:r>
    </w:p>
    <w:p w14:paraId="0465F19C">
      <w:pPr>
        <w:jc w:val="left"/>
        <w:rPr>
          <w:rFonts w:hint="eastAsia"/>
          <w:b w:val="0"/>
          <w:bCs w:val="0"/>
          <w:sz w:val="21"/>
          <w:szCs w:val="21"/>
          <w:u w:val="singl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z w:val="24"/>
          <w:szCs w:val="24"/>
          <w:u w:val="none"/>
          <w:lang w:val="en-US" w:eastAsia="zh-CN"/>
        </w:rPr>
        <w:t>学    号：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4"/>
          <w:szCs w:val="24"/>
          <w:u w:val="none"/>
          <w:lang w:val="en-US" w:eastAsia="zh-CN"/>
        </w:rPr>
        <w:t xml:space="preserve">       </w:t>
      </w:r>
      <w:r>
        <w:rPr>
          <w:rFonts w:hint="eastAsia"/>
          <w:b w:val="0"/>
          <w:bCs w:val="0"/>
          <w:sz w:val="21"/>
          <w:szCs w:val="21"/>
          <w:u w:val="none"/>
          <w:lang w:val="en-US" w:eastAsia="zh-CN"/>
        </w:rPr>
        <w:t xml:space="preserve">       </w:t>
      </w:r>
    </w:p>
    <w:p w14:paraId="44EC6E54">
      <w:pPr>
        <w:jc w:val="left"/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  <w:t>一、实验目的</w:t>
      </w:r>
    </w:p>
    <w:p w14:paraId="769D891A">
      <w:pPr>
        <w:jc w:val="left"/>
        <w:rPr>
          <w:rFonts w:hint="default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  <w:t xml:space="preserve">  （略）</w:t>
      </w:r>
    </w:p>
    <w:p w14:paraId="7591DE68">
      <w:pPr>
        <w:jc w:val="left"/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  <w:t>二、实验原理</w:t>
      </w:r>
    </w:p>
    <w:p w14:paraId="3D653E7E">
      <w:pPr>
        <w:widowControl w:val="0"/>
        <w:numPr>
          <w:ilvl w:val="0"/>
          <w:numId w:val="0"/>
        </w:numPr>
        <w:ind w:firstLine="240" w:firstLineChars="100"/>
        <w:jc w:val="left"/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  <w:t>（略）</w:t>
      </w:r>
    </w:p>
    <w:p w14:paraId="7392BC17">
      <w:pPr>
        <w:widowControl w:val="0"/>
        <w:numPr>
          <w:ilvl w:val="0"/>
          <w:numId w:val="1"/>
        </w:numPr>
        <w:jc w:val="left"/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>主要仪器与试剂</w:t>
      </w:r>
    </w:p>
    <w:p w14:paraId="0AC095CB">
      <w:pPr>
        <w:widowControl w:val="0"/>
        <w:numPr>
          <w:ilvl w:val="0"/>
          <w:numId w:val="0"/>
        </w:numPr>
        <w:ind w:firstLine="240" w:firstLineChars="100"/>
        <w:jc w:val="left"/>
        <w:rPr>
          <w:rFonts w:hint="default" w:ascii="宋体" w:hAnsi="宋体" w:eastAsia="宋体" w:cs="Times New Roman"/>
          <w:bCs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  <w:t>（略）</w:t>
      </w:r>
    </w:p>
    <w:p w14:paraId="07E7BD90">
      <w:pPr>
        <w:widowControl w:val="0"/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  <w:t>四、实验步骤</w:t>
      </w:r>
    </w:p>
    <w:p w14:paraId="1B773EA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sz w:val="21"/>
          <w:szCs w:val="21"/>
        </w:rPr>
      </w:pPr>
      <w:r>
        <w:rPr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2698750</wp:posOffset>
                </wp:positionH>
                <wp:positionV relativeFrom="paragraph">
                  <wp:posOffset>944880</wp:posOffset>
                </wp:positionV>
                <wp:extent cx="2755265" cy="330200"/>
                <wp:effectExtent l="4445" t="4445" r="21590" b="825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30015" y="4178300"/>
                          <a:ext cx="2755265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60E319F">
                            <w:pPr>
                              <w:rPr>
                                <w:rFonts w:hint="default" w:eastAsia="宋体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用待标定的HCl溶液滴至由绿色变成亮黄色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2.5pt;margin-top:74.4pt;height:26pt;width:216.95pt;z-index:251665408;mso-width-relative:page;mso-height-relative:page;" fillcolor="#FFFFFF" filled="t" stroked="t" coordsize="21600,21600" o:gfxdata="UEsDBAoAAAAAAIdO4kAAAAAAAAAAAAAAAAAEAAAAZHJzL1BLAwQUAAAACACHTuJAzDg5VtcAAAAL&#10;AQAADwAAAGRycy9kb3ducmV2LnhtbE2PzU7DMBCE70i8g7VI3KjT9EcmxKkEEhLiRpsLNzfeJhH2&#10;OrLdprw9ywmOoxnNfFPvrt6JC8Y0BtKwXBQgkLpgR+o1tIfXBwUiZUPWuECo4RsT7Jrbm9pUNsz0&#10;gZd97gWXUKqMhiHnqZIydQN6kxZhQmLvFKI3mWXspY1m5nLvZFkUW+nNSLwwmAlfBuy+9mev4W37&#10;nD+xte92Va7C3MounlzS+v5uWTyByHjNf2H4xWd0aJjpGM5kk3Aa1uWGv2Q21oo/cEJt1COIowYe&#10;ViCbWv7/0PwAUEsDBBQAAAAIAIdO4kCiPvV7awIAANMEAAAOAAAAZHJzL2Uyb0RvYy54bWytVEtu&#10;2zAQ3RfoHQjuG8m/fAzLgZvARYGgCeAWXdMUZRElOSxJW0oP0N6gq26677lyjg4pOXGSLrKoF/QM&#10;5+EN5/FRs/NWK7ITzkswBR0c5ZQIw6GUZlPQTx+Xb04p8YGZkikwoqC3wtPz+etXs8ZOxRBqUKVw&#10;BEmMnza2oHUIdpplntdCM38EVhgsVuA0C5i6TVY61iC7Vtkwz4+zBlxpHXDhPe5edkXaM7qXEEJV&#10;SS4ugW+1MKFjdUKxgCP5WlpP5+m0VSV4uK4qLwJRBcVJQ1qxCcbruGbzGZtuHLO15P0R2EuO8GQm&#10;zaTBpvdUlywwsnXyGZWW3IGHKhxx0Fk3SFIEpxjkT7RZ1cyKNAtK7e296P7/0fIPuxtHZFnQ4Rkl&#10;hmm88bufP+5+/bn7/Z3gHgrUWD9F3MoiMrRvoUXb7Pc9bsa528rp+I8TEayPzkZ5PphQclvQ8eDk&#10;FLNOatEGwhEwPJlMhscI4IgYjXJ0RgRkD0zW+fBOgCYxKKjDq0wKs92VDx10D4mNPShZLqVSKXGb&#10;9YVyZMfw2pfp17M/gilDmoIejyZ5Yn5Ui9z3FGvF+JfnDHhaZWI/kZzWnyvK1ckSo9Cu217DNZS3&#10;KKGDzoXe8qXELlfMhxvm0HZoSnyY4RqXSgEeDfqIkhrct3/tRzy6AauUNGjjgvqvW+YEJeq9QZ+c&#10;Dcbj6PuUjCcnQ0zcYWV9WDFbfQEo2QA/AZanMOKD2oeVA/0Z3+8idsUSMxx7FzTsw4vQPS58/1ws&#10;FgmETrcsXJmV5ZE6CmZgsQ1QyXSRUaZOGzRATNDryQr9u4yP6TBPqIdv0fw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zDg5VtcAAAALAQAADwAAAAAAAAABACAAAAAiAAAAZHJzL2Rvd25yZXYueG1s&#10;UEsBAhQAFAAAAAgAh07iQKI+9XtrAgAA0wQAAA4AAAAAAAAAAQAgAAAAJgEAAGRycy9lMm9Eb2Mu&#10;eG1sUEsFBgAAAAAGAAYAWQEAAAMGAAAAAA==&#10;">
                <v:path/>
                <v:fill on="t" focussize="0,0"/>
                <v:stroke weight="0.5pt" joinstyle="round"/>
                <v:imagedata o:title=""/>
                <o:lock v:ext="edit" aspectratio="f"/>
                <v:textbox>
                  <w:txbxContent>
                    <w:p w14:paraId="560E319F">
                      <w:pPr>
                        <w:rPr>
                          <w:rFonts w:hint="default" w:eastAsia="宋体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用待标定的HCl溶液滴至由绿色变成亮黄色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646430</wp:posOffset>
                </wp:positionV>
                <wp:extent cx="6350" cy="273050"/>
                <wp:effectExtent l="53340" t="0" r="54610" b="12700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568315" y="3740150"/>
                          <a:ext cx="6350" cy="2730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48.45pt;margin-top:50.9pt;height:21.5pt;width:0.5pt;z-index:251664384;mso-width-relative:page;mso-height-relative:page;" filled="f" stroked="t" coordsize="21600,21600" o:gfxdata="UEsDBAoAAAAAAIdO4kAAAAAAAAAAAAAAAAAEAAAAZHJzL1BLAwQUAAAACACHTuJAxRudv9oAAAAL&#10;AQAADwAAAGRycy9kb3ducmV2LnhtbE2PzU7DMBCE70i8g7VI3KgdFJkmjdMDUiPgUKkFVXBz420S&#10;EduR7f7w9iwnetyZT7Mz1fJiR3bCEAfvFGQzAQxd683gOgUf76uHObCYtDN69A4V/GCEZX17U+nS&#10;+LPb4GmbOkYhLpZaQZ/SVHIe2x6tjjM/oSPv4IPVic7QcRP0mcLtyB+FkNzqwdGHXk/43GP7vT1a&#10;Bfna7Jq3L/0q+Q5XL5vQfK6zRqn7u0wsgCW8pH8Y/upTdaip094fnYlsVCALWRBKhshoAxGyeCJl&#10;T0qez4HXFb/eUP8CUEsDBBQAAAAIAIdO4kD2Ou03DQIAAOYDAAAOAAAAZHJzL2Uyb0RvYy54bWyt&#10;U81uEzEQviPxDpbvZDdJk1ZRNz00lAuCSsADOF7vriX/acbNJi/BCyBxAk7AqXeeBspjMPYupZRL&#10;D+zBO/Z4vpnvm/Hp2d4atlOA2ruKTyclZ8pJX2vXVvzN64snJ5xhFK4WxjtV8YNCfrZ+/Oi0Dys1&#10;8503tQJGIA5Xfah4F2NYFQXKTlmBEx+UI2fjwYpIW2iLGkRP6NYUs7JcFr2HOoCXCpFON4OTj4jw&#10;EEDfNFqqjZdXVrk4oIIyIhIl7HRAvs7VNo2S8WXToIrMVJyYxrxSErK3aS3Wp2LVggidlmMJ4iEl&#10;3ONkhXaU9BZqI6JgV6D/gbJagkffxIn0thiIZEWIxbS8p82rTgSVuZDUGG5Fx/8HK1/sLoHpuuIz&#10;6rsTljp+8+76x9uPN1+/fP9w/fPb+2R//sTIT2L1AVcUc+4uYdxhuITEfN+ATX/ixPYVXyyWJ/Pp&#10;grNDxefHR+V0MYqt9pFJurCc0wmT5J4dz8vBW/yBCYDxmfKWJaPiGEHotovn3jlqqodpllvsnmOk&#10;Qijwd0CqwfkLbUzurXGspxSLozJlEzSwDQ0KmTYQaXQtZ8K09BJkhAyJ3ug6hScghHZ7boDtRJqf&#10;/CUVKN1f11LujcBuuJddw2RFoc1TV7N4CCSsAPD9GG9cwld5REcOSdtBzWRtfX3IIhdpR+3PacdR&#10;TfN1d0/23ee5/g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FG52/2gAAAAsBAAAPAAAAAAAAAAEA&#10;IAAAACIAAABkcnMvZG93bnJldi54bWxQSwECFAAUAAAACACHTuJA9jrtNw0CAADmAwAADgAAAAAA&#10;AAABACAAAAApAQAAZHJzL2Uyb0RvYy54bWxQSwUGAAAAAAYABgBZAQAAqAUAAAAA&#10;">
                <v:path arrowok="t"/>
                <v:fill on="f" focussize="0,0"/>
                <v:stroke weight="2pt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3733165</wp:posOffset>
                </wp:positionH>
                <wp:positionV relativeFrom="paragraph">
                  <wp:posOffset>43180</wp:posOffset>
                </wp:positionV>
                <wp:extent cx="1498600" cy="463550"/>
                <wp:effectExtent l="4445" t="5080" r="20955" b="762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139815" y="3181350"/>
                          <a:ext cx="149860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FC1BF78">
                            <w:pPr>
                              <w:rPr>
                                <w:rFonts w:hint="default" w:eastAsia="宋体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加3滴溴甲酚绿-二甲基黄混合指示剂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3.95pt;margin-top:3.4pt;height:36.5pt;width:118pt;z-index:251663360;mso-width-relative:page;mso-height-relative:page;" fillcolor="#FFFFFF" filled="t" stroked="t" coordsize="21600,21600" o:gfxdata="UEsDBAoAAAAAAIdO4kAAAAAAAAAAAAAAAAAEAAAAZHJzL1BLAwQUAAAACACHTuJADwf5eNUAAAAI&#10;AQAADwAAAGRycy9kb3ducmV2LnhtbE2PT0vDQBTE74LfYXmCN7tpgmka81JQEMSbbS7ettnXJLh/&#10;wu62qd/e50mPwwwzv2l2V2vEhUKcvENYrzIQ5HqvJzcgdIfXhwpETMppZbwjhG+KsGtvbxpVa7+4&#10;D7rs0yC4xMVaIYwpzbWUsR/JqrjyMzn2Tj5YlViGQeqgFi63RuZZVkqrJscLo5rpZaT+a3+2CG/l&#10;c/qkTr/rIi/80sk+nExEvL9bZ08gEl3TXxh+8RkdWmY6+rPTURiEx2qz5ShCyQ/Yr/KC9RFhs61A&#10;to38f6D9AVBLAwQUAAAACACHTuJAnHByKWsCAADTBAAADgAAAGRycy9lMm9Eb2MueG1srVTNbtsw&#10;DL4P2DsIuq+O87c0iFNkLTIMKNYC3bCzIsuxMEnUJCV29wDbG+y0y+57rj7HKNlJu3aHHuaDTIr0&#10;R/Ij6cVZqxXZC+clmILmJwNKhOFQSrMt6McP61czSnxgpmQKjCjorfD0bPnyxaKxczGEGlQpHEEQ&#10;4+eNLWgdgp1nmee10MyfgBUGjRU4zQKqbpuVjjWIrlU2HAymWQOutA648B5vLzoj7RHdcwChqiQX&#10;F8B3WpjQoTqhWMCSfC2tp8uUbVUJHq6qyotAVEGx0pBODILyJp7ZcsHmW8dsLXmfAntOCo9q0kwa&#10;DHqEumCBkZ2TT6C05A48VOGEg866QhIjWEU+eMTNTc2sSLUg1d4eSff/D5a/3187IsuCDqeUGKax&#10;43c/vt/9/H336xvBOySosX6OfjcWPUP7Blocm8O9x8tYd1s5Hd9YEUH7NB+dzvIJJbcFHeWzfDTp&#10;qRZtIDwCjE9n0wF2gaPHeDqadA7ZPZJ1PrwVoEkUCuqwlYlhtr/0AbNC14NLDOxByXItlUqK227O&#10;lSN7hm1fpycmjJ/85aYMaTDXmNwTiIh9hNgoxj8/RUA8ZeKXIk1an1ekq6MlSqHdtD2HGyhvkUIH&#10;3RR6y9cSo1wyH66Zw7FDOnAxwxUelQJMDXqJkhrc13/dR3+cBrRS0uAYF9R/2TEnKFHvDM7JaT4e&#10;x7lPynjyeoiKe2jZPLSYnT4HpCzHX4DlSYz+QR3EyoH+hPu7ilHRxAzH2AUNB/E8dMuF+8/FapWc&#10;cNItC5fmxvIIHQkzsNoFqGRqZKSp4wZbFBWc9dSsfi/jMj3Uk9f9v2j5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A8H+XjVAAAACAEAAA8AAAAAAAAAAQAgAAAAIgAAAGRycy9kb3ducmV2LnhtbFBL&#10;AQIUABQAAAAIAIdO4kCccHIpawIAANMEAAAOAAAAAAAAAAEAIAAAACQBAABkcnMvZTJvRG9jLnht&#10;bFBLBQYAAAAABgAGAFkBAAABBgAAAAA=&#10;">
                <v:path/>
                <v:fill on="t" focussize="0,0"/>
                <v:stroke weight="0.5pt" joinstyle="round"/>
                <v:imagedata o:title=""/>
                <o:lock v:ext="edit" aspectratio="f"/>
                <v:textbox>
                  <w:txbxContent>
                    <w:p w14:paraId="5FC1BF78">
                      <w:pPr>
                        <w:rPr>
                          <w:rFonts w:hint="default" w:eastAsia="宋体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加3滴溴甲酚绿-二甲基黄混合指示剂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278130</wp:posOffset>
                </wp:positionV>
                <wp:extent cx="317500" cy="2540"/>
                <wp:effectExtent l="0" t="56515" r="6350" b="55245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5314315" y="3374390"/>
                          <a:ext cx="317500" cy="254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66.45pt;margin-top:21.9pt;height:0.2pt;width:25pt;z-index:251662336;mso-width-relative:page;mso-height-relative:page;" filled="f" stroked="t" coordsize="21600,21600" o:gfxdata="UEsDBAoAAAAAAIdO4kAAAAAAAAAAAAAAAAAEAAAAZHJzL1BLAwQUAAAACACHTuJARMmHatYAAAAJ&#10;AQAADwAAAGRycy9kb3ducmV2LnhtbE2PPW/CMBCG90r9D9ZV6lYcQlLREIehVccOUITE5thHEjU+&#10;R7EhwK/vMbXjvffo/SjXF9eLM46h86RgPktAIBlvO2oU7L4/X5YgQtRkde8JFVwxwLp6fCh1Yf1E&#10;GzxvYyPYhEKhFbQxDoWUwbTodJj5AYl/Rz86HfkcG2lHPbG562WaJK/S6Y44odUDvrdofrYnp+D2&#10;cUup3uNg9puDvWbmkH1NuVLPT/NkBSLiJf7BcK/P1aHiTrU/kQ2iV5Av0jdGFWQLnsBAvrwLNQtZ&#10;CrIq5f8F1S9QSwMEFAAAAAgAh07iQHKX7N4SAgAA8AMAAA4AAABkcnMvZTJvRG9jLnhtbK1TO44U&#10;MRDNkbiD5Zzp+bIwmp4NZlgSBCvxyT1ud7cl/1TlnZ65BBdAIgKihWhzTgPLMSi7m9WyJBvQgVXu&#10;cr2q9/y8Oj1Yw/YKUHtX8slozJly0lfaNSV/++bs0RPOMApXCeOdKvlRIT9dP3yw6sJSTX3rTaWA&#10;EYjDZRdK3sYYlkWBslVW4MgH5ShZe7Ai0haaogLREbo1xXQ8flx0HqoAXipE+rvtk3xAhPsA+rrW&#10;Um29vLDKxR4VlBGRKGGrA/J1nraulYyv6hpVZKbkxDTmlZpQvEtrsV6JZQMitFoOI4j7jHCHkxXa&#10;UdMbqK2Igl2A/gfKagkefR1H0tuiJ5IVIRaT8R1tXrciqMyFpMZwIzr+P1j5cn8OTFclny44c8LS&#10;jV9/uPr5/vP1t68/Pl39+v4xxZdfGOVJrC7gkmo27hyGHYZzSMwPNVhWGx3ekauyFsSOHUq+mE3m&#10;swmhH0s+m53MZ08H2dUhMkkHZpOTxZguRNKB6WKes0UPmIADYHyuvGUpKDlGELpp48Y7R9froW8m&#10;9i8w0khU+KcgFTt/po3Jt2wc6/oGqZcg69ZkGQptIProGs6EaehNyAh5fvRGV6k8ASE0u40BthfJ&#10;SflLelC7v46l3luBbX8up3qPRaHNM1exeAwksQDw3VBvXMJX2awDh6Ryr2uKdr46ZrmLtCMj5LaD&#10;aZPTbu8pvv1Q17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MmHatYAAAAJAQAADwAAAAAAAAAB&#10;ACAAAAAiAAAAZHJzL2Rvd25yZXYueG1sUEsBAhQAFAAAAAgAh07iQHKX7N4SAgAA8AMAAA4AAAAA&#10;AAAAAQAgAAAAJQEAAGRycy9lMm9Eb2MueG1sUEsFBgAAAAAGAAYAWQEAAKkFAAAAAA==&#10;">
                <v:path arrowok="t"/>
                <v:fill on="f" focussize="0,0"/>
                <v:stroke weight="2pt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2152015</wp:posOffset>
                </wp:positionH>
                <wp:positionV relativeFrom="paragraph">
                  <wp:posOffset>140970</wp:posOffset>
                </wp:positionV>
                <wp:extent cx="1155700" cy="279400"/>
                <wp:effectExtent l="4445" t="4445" r="20955" b="20955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764915" y="3228340"/>
                          <a:ext cx="11557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0DD058F">
                            <w:pPr>
                              <w:rPr>
                                <w:rFonts w:hint="default" w:eastAsia="宋体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>加80mL水溶解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9.45pt;margin-top:11.1pt;height:22pt;width:91pt;z-index:251661312;mso-width-relative:page;mso-height-relative:page;" fillcolor="#FFFFFF" filled="t" stroked="t" coordsize="21600,21600" o:gfxdata="UEsDBAoAAAAAAIdO4kAAAAAAAAAAAAAAAAAEAAAAZHJzL1BLAwQUAAAACACHTuJAO3EHFNUAAAAJ&#10;AQAADwAAAGRycy9kb3ducmV2LnhtbE2PwU7DMAyG70h7h8iTuLFkqahGqTsJJCTEjdELt6zx2orE&#10;qZpsHW9POMHR9qff31/vr96JC81xDIyw3SgQxF2wI/cI7cfL3Q5ETIatcYEJ4Zsi7JvVTW0qGxZ+&#10;p8sh9SKHcKwMwpDSVEkZu4G8iZswEefbKczepDzOvbSzWXK4d1IrVUpvRs4fBjPR80Dd1+HsEV7L&#10;p/RJrX2zhS7C0spuPrmIeLveqkcQia7pD4Zf/awOTXY6hjPbKBxCUeweMoqgtQaRgXut8uKIUJYa&#10;ZFPL/w2aH1BLAwQUAAAACACHTuJAf6hdMGsCAADTBAAADgAAAGRycy9lMm9Eb2MueG1srVTNbhMx&#10;EL4j8Q6W73STTdK0UTdVSBWEVNFKAXF2vN6she0xtpPd8gDwBpy4cOe5+hyMvZv+cuiBHJwZz+ib&#10;mc/f7Nl5qxXZC+clmIIOjwaUCMOhlGZb0E8fV29OKPGBmZIpMKKgN8LT8/nrV2eNnYkcalClcARB&#10;jJ81tqB1CHaWZZ7XQjN/BFYYDFbgNAvoum1WOtYgulZZPhgcZw240jrgwnu8veiCtEd0LwGEqpJc&#10;XADfaWFCh+qEYgFH8rW0ns5Tt1UleLiqKi8CUQXFSUM6sQjam3hm8zM22zpma8n7FthLWngyk2bS&#10;YNE7qAsWGNk5+QxKS+7AQxWOOOisGyQxglMMB0+4WdfMijQLUu3tHen+/8HyD/trR2RZ0HxEiWEa&#10;X/z254/bX39uf38neIcENdbPMG9tMTO0b6FF2RzuPV7GudvK6fiPExGMj6bH49PhhJIbtPP8ZDTu&#10;qRZtIDwCDCeT6QBfgWNGPj0do42lsnsk63x4J0CTaBTU4VMmhtn+0ocu9ZASC3tQslxJpZLjtpul&#10;cmTP8NlX6dejP0pThjQFPR5NBgn5USxi30FsFONfniNgt8rEeiIpre8r0tXREq3Qbtqeww2UN0ih&#10;g06F3vKVxCqXzIdr5lB2SAcuZrjCo1KArUFvUVKD+/av+5iPasAoJQ3KuKD+6445QYl6b1Anp8Mx&#10;Uk9CcsaTaY6OexjZPIyYnV4CUjbET4DlyYz5QR3MyoH+jPu7iFUxxAzH2gUNB3MZuuXC/edisUhJ&#10;qHTLwqVZWx6hI2EGFrsAlUwPGWnquEEBRAe1nqTQ72Vcpod+yrr/Fs3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DtxBxTVAAAACQEAAA8AAAAAAAAAAQAgAAAAIgAAAGRycy9kb3ducmV2LnhtbFBL&#10;AQIUABQAAAAIAIdO4kB/qF0wawIAANMEAAAOAAAAAAAAAAEAIAAAACQBAABkcnMvZTJvRG9jLnht&#10;bFBLBQYAAAAABgAGAFkBAAABBgAAAAA=&#10;">
                <v:path/>
                <v:fill on="t" focussize="0,0"/>
                <v:stroke weight="0.5pt" joinstyle="round"/>
                <v:imagedata o:title=""/>
                <o:lock v:ext="edit" aspectratio="f"/>
                <v:textbox>
                  <w:txbxContent>
                    <w:p w14:paraId="30DD058F">
                      <w:pPr>
                        <w:rPr>
                          <w:rFonts w:hint="default" w:eastAsia="宋体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>加80mL水溶解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1828165</wp:posOffset>
                </wp:positionH>
                <wp:positionV relativeFrom="paragraph">
                  <wp:posOffset>261620</wp:posOffset>
                </wp:positionV>
                <wp:extent cx="298450" cy="0"/>
                <wp:effectExtent l="0" t="57150" r="6350" b="57150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161665" y="3368040"/>
                          <a:ext cx="29845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3.95pt;margin-top:20.6pt;height:0pt;width:23.5pt;z-index:251660288;mso-width-relative:page;mso-height-relative:page;" filled="f" stroked="t" coordsize="21600,21600" o:gfxdata="UEsDBAoAAAAAAIdO4kAAAAAAAAAAAAAAAAAEAAAAZHJzL1BLAwQUAAAACACHTuJAKRv2a9gAAAAJ&#10;AQAADwAAAGRycy9kb3ducmV2LnhtbE2PTU/DMAyG70j8h8hI3FjabhqjNN0BaRVwmLSBJrh5jWkr&#10;Gqdqsg/+PUYc4OjXrx4/LpZn16sjjaHzbCCdJKCIa287bgy8vqxuFqBCRLbYeyYDXxRgWV5eFJhb&#10;f+INHbexUQLhkKOBNsYh1zrULTkMEz8Qy+7Djw6jjGOj7YgngbteZ0ky1w47lgstDvTQUv25PTgD&#10;s7XdVc/v+DTXO1o9bsbqbZ1Wxlxfpck9qEjn+FeGH31Rh1Kc9v7ANqjeQLa4vZOqwNIMlBSm05kE&#10;+99Al4X+/0H5DVBLAwQUAAAACACHTuJA57VdEQsCAADjAwAADgAAAGRycy9lMm9Eb2MueG1srVPB&#10;jtMwEL0j8Q+W7zRpt61K1XQPLcsFQSXgA1zHSSw5tjXjbdqf4AeQOAEn2NPe+RpYPoOxE5ZlueyB&#10;HJJxZubNvDfj1fmxNeygALWzBR+Pcs6Ula7Uti742zcXTxacYRC2FMZZVfCTQn6+fvxo1fmlmrjG&#10;mVIBIxCLy84XvAnBL7MMZaNagSPnlSVn5aAVgY5QZyWIjtBbk03yfJ51DkoPTipE+rvtnXxAhIcA&#10;uqrSUm2dvGyVDT0qKCMCUcJGe+Tr1G1VKRleVRWqwEzBiWlIbypC9j6+s/VKLGsQvtFyaEE8pIV7&#10;nFqhLRW9hdqKINgl6H+gWi3BoavCSLo264kkRYjFOL+nzetGeJW4kNTob0XH/wcrXx52wHRJmzDh&#10;zIqWJn7z/vrHu083V1+/f7z++e1DtL98ZuQnsTqPS8rZ2B0MJ/Q7iMyPFbTxS5zYseBn4/l4Pp9x&#10;diL7bL7Ip4PY6hiYpIDJ08V0RmOQFJBc2R8MDxieK9eyaBQcAwhdN2HjrKWJOhgnrcXhBQbqghJ/&#10;J8QGrLvQxqTBGss6qjSb5rGQoG2taEvIbD0xRltzJkxN10AGSJDojC5jegRCqPcbA+wg4vKkJ0pA&#10;5f4Ki7W3Aps+Lrn6tQpCm2e2ZOHkSVUB4Loh39iIr9J+DhyisL2U0dq78pQUzuKJZp/KDnsal+vu&#10;mey7d3P9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Ckb9mvYAAAACQEAAA8AAAAAAAAAAQAgAAAA&#10;IgAAAGRycy9kb3ducmV2LnhtbFBLAQIUABQAAAAIAIdO4kDntV0RCwIAAOMDAAAOAAAAAAAAAAEA&#10;IAAAACcBAABkcnMvZTJvRG9jLnhtbFBLBQYAAAAABgAGAFkBAACkBQAAAAA=&#10;">
                <v:path arrowok="t"/>
                <v:fill on="f" focussize="0,0"/>
                <v:stroke weight="2pt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115570</wp:posOffset>
                </wp:positionV>
                <wp:extent cx="1809750" cy="299085"/>
                <wp:effectExtent l="4445" t="4445" r="14605" b="2032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13815" y="3374390"/>
                          <a:ext cx="180975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C2CC06F">
                            <w:pPr>
                              <w:rPr>
                                <w:rFonts w:hint="default" w:ascii="Times New Roman" w:hAnsi="Times New Roman" w:eastAsia="宋体" w:cs="Times New Roman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准确称取Na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1"/>
                                <w:szCs w:val="21"/>
                                <w:vertAlign w:val="subscript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CO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1"/>
                                <w:szCs w:val="21"/>
                                <w:vertAlign w:val="subscript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1"/>
                                <w:szCs w:val="21"/>
                                <w:lang w:val="en-US" w:eastAsia="zh-CN"/>
                              </w:rPr>
                              <w:t xml:space="preserve"> 0.15-0.2g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.55pt;margin-top:9.1pt;height:23.55pt;width:142.5pt;z-index:251659264;mso-width-relative:page;mso-height-relative:page;" fillcolor="#FFFFFF" filled="t" stroked="t" coordsize="21600,21600" o:gfxdata="UEsDBAoAAAAAAIdO4kAAAAAAAAAAAAAAAAAEAAAAZHJzL1BLAwQUAAAACACHTuJA4Ccqg9YAAAAI&#10;AQAADwAAAGRycy9kb3ducmV2LnhtbE2PzU7DMBCE70i8g7VI3FrnRw1tiFMJJCTEjZILNzfeJhH2&#10;OrLdprw9ywmOszOa+bbZX50VFwxx8qQgX2cgkHpvJhoUdB8vqy2ImDQZbT2hgm+MsG9vbxpdG7/Q&#10;O14OaRBcQrHWCsaU5lrK2I/odFz7GYm9kw9OJ5ZhkCbohcudlUWWVdLpiXhh1DM+j9h/Hc5OwWv1&#10;lD6xM2+mLEq/dLIPJxuVur/Ls0cQCa/pLwy/+IwOLTMd/ZlMFFbBapdzku/bAgT7xcNmB+KooNqU&#10;INtG/n+g/QFQSwMEFAAAAAgAh07iQKCDSLFpAgAA0QQAAA4AAABkcnMvZTJvRG9jLnhtbK1US27b&#10;MBDdF+gdCO4b+Rt/YDlwE7goEDQB0qJrmqIsoiSHJWlL6QGaG3TVTfc9V87RISU7adJFFvVCnuGM&#10;3sw8vtHirNGK7IXzEkxO+yc9SoThUEizzemnj+s3U0p8YKZgCozI6a3w9Gz5+tWitnMxgApUIRxB&#10;EOPntc1pFYKdZ5nnldDMn4AVBoMlOM0Cum6bFY7ViK5VNuj1TrMaXGEdcOE9nl60QdohupcAQllK&#10;Li6A77QwoUV1QrGAI/lKWk+XqduyFDxclaUXgaic4qQhPbEI2pv4zJYLNt86ZivJuxbYS1p4MpNm&#10;0mDRI9QFC4zsnHwGpSV34KEMJxx01g6SGMEp+r0n3NxUzIo0C1Lt7ZF0//9g+Yf9tSOyyOmEEsM0&#10;Xvj9j7v7n7/vf30nk0hPbf0cs24s5oXmLTQomsO5x8M4dVM6Hf9xHhLjw/5w2h9TcpvT4XAyGs46&#10;okUTCI8J095sMsY74JgxmM1603GEzB6QrPPhnQBNopFThxeZ+GX7Sx/a1ENKLOxByWItlUqO227O&#10;lSN7hpe+Tr8O/a80ZUid09Mh9vEMImIfITaK8S/PEbBbZeKbIums6yvS1dISrdBsmo7DDRS3SKGD&#10;VoPe8rXEKpfMh2vmUHRIB65luMJHqQBbg86ipAL37V/nMR+1gFFKahRxTv3XHXOCEvXeoEpm/dEo&#10;qj45o/FkgI57HNk8jpidPgekrI8fAMuTGfODOpilA/0Zt3cVq2KIGY61cxoO5nloVwu3n4vVKiWh&#10;zi0Ll+bG8ggdCTOw2gUoZbrISFPLDQogOqj0JIVuK+MqPfZT1sOXaPk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4Ccqg9YAAAAIAQAADwAAAAAAAAABACAAAAAiAAAAZHJzL2Rvd25yZXYueG1sUEsB&#10;AhQAFAAAAAgAh07iQKCDSLFpAgAA0QQAAA4AAAAAAAAAAQAgAAAAJQEAAGRycy9lMm9Eb2MueG1s&#10;UEsFBgAAAAAGAAYAWQEAAAAGAAAAAA==&#10;">
                <v:path/>
                <v:fill on="t" focussize="0,0"/>
                <v:stroke weight="0.5pt" joinstyle="round"/>
                <v:imagedata o:title=""/>
                <o:lock v:ext="edit" aspectratio="f"/>
                <v:textbox>
                  <w:txbxContent>
                    <w:p w14:paraId="7C2CC06F">
                      <w:pPr>
                        <w:rPr>
                          <w:rFonts w:hint="default" w:ascii="Times New Roman" w:hAnsi="Times New Roman" w:eastAsia="宋体" w:cs="Times New Roman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sz w:val="21"/>
                          <w:szCs w:val="21"/>
                          <w:lang w:val="en-US" w:eastAsia="zh-CN"/>
                        </w:rPr>
                        <w:t>准确称取Na</w:t>
                      </w:r>
                      <w:r>
                        <w:rPr>
                          <w:rFonts w:hint="default" w:ascii="Times New Roman" w:hAnsi="Times New Roman" w:eastAsia="宋体" w:cs="Times New Roman"/>
                          <w:sz w:val="21"/>
                          <w:szCs w:val="21"/>
                          <w:vertAlign w:val="subscript"/>
                          <w:lang w:val="en-US" w:eastAsia="zh-CN"/>
                        </w:rPr>
                        <w:t>2</w:t>
                      </w:r>
                      <w:r>
                        <w:rPr>
                          <w:rFonts w:hint="default" w:ascii="Times New Roman" w:hAnsi="Times New Roman" w:eastAsia="宋体" w:cs="Times New Roman"/>
                          <w:sz w:val="21"/>
                          <w:szCs w:val="21"/>
                          <w:lang w:val="en-US" w:eastAsia="zh-CN"/>
                        </w:rPr>
                        <w:t>CO</w:t>
                      </w:r>
                      <w:r>
                        <w:rPr>
                          <w:rFonts w:hint="default" w:ascii="Times New Roman" w:hAnsi="Times New Roman" w:eastAsia="宋体" w:cs="Times New Roman"/>
                          <w:sz w:val="21"/>
                          <w:szCs w:val="21"/>
                          <w:vertAlign w:val="subscript"/>
                          <w:lang w:val="en-US" w:eastAsia="zh-CN"/>
                        </w:rPr>
                        <w:t>3</w:t>
                      </w:r>
                      <w:r>
                        <w:rPr>
                          <w:rFonts w:hint="default" w:ascii="Times New Roman" w:hAnsi="Times New Roman" w:eastAsia="宋体" w:cs="Times New Roman"/>
                          <w:sz w:val="21"/>
                          <w:szCs w:val="21"/>
                          <w:lang w:val="en-US" w:eastAsia="zh-CN"/>
                        </w:rPr>
                        <w:t xml:space="preserve"> 0.15-0.2g</w:t>
                      </w:r>
                    </w:p>
                  </w:txbxContent>
                </v:textbox>
              </v:shape>
            </w:pict>
          </mc:Fallback>
        </mc:AlternateContent>
      </w:r>
    </w:p>
    <w:p w14:paraId="51E0894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sz w:val="21"/>
          <w:szCs w:val="21"/>
        </w:rPr>
      </w:pPr>
    </w:p>
    <w:p w14:paraId="6EF0F6E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sz w:val="21"/>
          <w:szCs w:val="21"/>
        </w:rPr>
      </w:pPr>
    </w:p>
    <w:p w14:paraId="21B4964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sz w:val="21"/>
          <w:szCs w:val="21"/>
        </w:rPr>
      </w:pPr>
    </w:p>
    <w:p w14:paraId="114A29F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sz w:val="21"/>
          <w:szCs w:val="21"/>
        </w:rPr>
      </w:pPr>
    </w:p>
    <w:p w14:paraId="66E8610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sz w:val="21"/>
          <w:szCs w:val="21"/>
        </w:rPr>
      </w:pPr>
    </w:p>
    <w:p w14:paraId="14E2625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sz w:val="21"/>
          <w:szCs w:val="21"/>
        </w:rPr>
      </w:pPr>
    </w:p>
    <w:p w14:paraId="7481BE9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u w:val="none"/>
          <w:lang w:val="en-US" w:eastAsia="zh-CN" w:bidi="ar-SA"/>
        </w:rPr>
        <w:t>五、实验记录和结果处理</w:t>
      </w:r>
    </w:p>
    <w:tbl>
      <w:tblPr>
        <w:tblStyle w:val="6"/>
        <w:tblpPr w:leftFromText="180" w:rightFromText="180" w:vertAnchor="text" w:horzAnchor="page" w:tblpXSpec="center" w:tblpY="371"/>
        <w:tblOverlap w:val="never"/>
        <w:tblW w:w="499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89"/>
        <w:gridCol w:w="1711"/>
        <w:gridCol w:w="1711"/>
        <w:gridCol w:w="1716"/>
      </w:tblGrid>
      <w:tr w14:paraId="5E287E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2056" w:type="pct"/>
            <w:vMerge w:val="restart"/>
            <w:tcBorders>
              <w:left w:val="nil"/>
              <w:bottom w:val="nil"/>
            </w:tcBorders>
            <w:noWrap w:val="0"/>
            <w:vAlign w:val="center"/>
          </w:tcPr>
          <w:p w14:paraId="0602641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  <w:t>记录项目</w:t>
            </w:r>
          </w:p>
        </w:tc>
        <w:tc>
          <w:tcPr>
            <w:tcW w:w="2943" w:type="pct"/>
            <w:gridSpan w:val="3"/>
            <w:tcBorders>
              <w:right w:val="nil"/>
            </w:tcBorders>
            <w:noWrap w:val="0"/>
            <w:vAlign w:val="center"/>
          </w:tcPr>
          <w:p w14:paraId="78ADE2E7">
            <w:pPr>
              <w:pStyle w:val="5"/>
              <w:pageBreakBefore w:val="0"/>
              <w:overflowPunct/>
              <w:topLinePunct w:val="0"/>
              <w:bidi w:val="0"/>
              <w:spacing w:before="136" w:line="240" w:lineRule="auto"/>
              <w:jc w:val="center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  <w:t>序号</w:t>
            </w:r>
          </w:p>
        </w:tc>
      </w:tr>
      <w:tr w14:paraId="00073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2056" w:type="pct"/>
            <w:vMerge w:val="continue"/>
            <w:tcBorders>
              <w:top w:val="nil"/>
              <w:left w:val="nil"/>
            </w:tcBorders>
            <w:noWrap w:val="0"/>
            <w:vAlign w:val="center"/>
          </w:tcPr>
          <w:p w14:paraId="4BACB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980" w:type="pct"/>
            <w:noWrap w:val="0"/>
            <w:vAlign w:val="center"/>
          </w:tcPr>
          <w:p w14:paraId="74D72613">
            <w:pPr>
              <w:pStyle w:val="5"/>
              <w:pageBreakBefore w:val="0"/>
              <w:overflowPunct/>
              <w:topLinePunct w:val="0"/>
              <w:bidi w:val="0"/>
              <w:spacing w:before="194" w:line="240" w:lineRule="auto"/>
              <w:jc w:val="center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  <w:t>1</w:t>
            </w:r>
          </w:p>
        </w:tc>
        <w:tc>
          <w:tcPr>
            <w:tcW w:w="980" w:type="pct"/>
            <w:noWrap w:val="0"/>
            <w:vAlign w:val="center"/>
          </w:tcPr>
          <w:p w14:paraId="7568F7C9">
            <w:pPr>
              <w:pStyle w:val="5"/>
              <w:pageBreakBefore w:val="0"/>
              <w:overflowPunct/>
              <w:topLinePunct w:val="0"/>
              <w:bidi w:val="0"/>
              <w:spacing w:before="195" w:line="240" w:lineRule="auto"/>
              <w:jc w:val="center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  <w:t>2</w:t>
            </w:r>
          </w:p>
        </w:tc>
        <w:tc>
          <w:tcPr>
            <w:tcW w:w="983" w:type="pct"/>
            <w:tcBorders>
              <w:right w:val="nil"/>
            </w:tcBorders>
            <w:noWrap w:val="0"/>
            <w:vAlign w:val="center"/>
          </w:tcPr>
          <w:p w14:paraId="11B9B942">
            <w:pPr>
              <w:pStyle w:val="5"/>
              <w:pageBreakBefore w:val="0"/>
              <w:overflowPunct/>
              <w:topLinePunct w:val="0"/>
              <w:bidi w:val="0"/>
              <w:spacing w:before="156" w:line="240" w:lineRule="auto"/>
              <w:jc w:val="center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  <w:t>3</w:t>
            </w:r>
          </w:p>
        </w:tc>
      </w:tr>
      <w:tr w14:paraId="7CA26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" w:hRule="atLeast"/>
          <w:jc w:val="center"/>
        </w:trPr>
        <w:tc>
          <w:tcPr>
            <w:tcW w:w="2056" w:type="pct"/>
            <w:tcBorders>
              <w:left w:val="nil"/>
            </w:tcBorders>
            <w:noWrap w:val="0"/>
            <w:vAlign w:val="center"/>
          </w:tcPr>
          <w:p w14:paraId="5F1C2E8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  <w:t>(称量瓶+碳酸钠)质量(倒出前)/g</w:t>
            </w:r>
          </w:p>
          <w:p w14:paraId="2C6087A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  <w:t>(称量瓶+碳酸钠)质量(倒出后)/g</w:t>
            </w:r>
          </w:p>
          <w:p w14:paraId="7145911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  <w:t>称出碳酸钠质量/g</w:t>
            </w:r>
          </w:p>
        </w:tc>
        <w:tc>
          <w:tcPr>
            <w:tcW w:w="980" w:type="pct"/>
            <w:noWrap w:val="0"/>
            <w:vAlign w:val="center"/>
          </w:tcPr>
          <w:p w14:paraId="3AEE297B">
            <w:pPr>
              <w:pageBreakBefore w:val="0"/>
              <w:overflowPunct/>
              <w:topLinePunct w:val="0"/>
              <w:bidi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980" w:type="pct"/>
            <w:noWrap w:val="0"/>
            <w:vAlign w:val="center"/>
          </w:tcPr>
          <w:p w14:paraId="315AC5D6">
            <w:pPr>
              <w:pageBreakBefore w:val="0"/>
              <w:overflowPunct/>
              <w:topLinePunct w:val="0"/>
              <w:bidi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983" w:type="pct"/>
            <w:tcBorders>
              <w:right w:val="nil"/>
            </w:tcBorders>
            <w:noWrap w:val="0"/>
            <w:vAlign w:val="center"/>
          </w:tcPr>
          <w:p w14:paraId="1491F4A4">
            <w:pPr>
              <w:pageBreakBefore w:val="0"/>
              <w:overflowPunct/>
              <w:topLinePunct w:val="0"/>
              <w:bidi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</w:p>
        </w:tc>
      </w:tr>
      <w:tr w14:paraId="05500E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  <w:jc w:val="center"/>
        </w:trPr>
        <w:tc>
          <w:tcPr>
            <w:tcW w:w="2056" w:type="pct"/>
            <w:tcBorders>
              <w:left w:val="nil"/>
            </w:tcBorders>
            <w:noWrap w:val="0"/>
            <w:vAlign w:val="center"/>
          </w:tcPr>
          <w:p w14:paraId="79A2687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  <w:t>HCl:最后读数/mL</w:t>
            </w:r>
          </w:p>
          <w:p w14:paraId="1D5ABF0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jc w:val="center"/>
              <w:textAlignment w:val="auto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  <w:t>最初读数/mL</w:t>
            </w:r>
          </w:p>
          <w:p w14:paraId="474798F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30" w:firstLineChars="300"/>
              <w:jc w:val="center"/>
              <w:textAlignment w:val="auto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  <w:t>净用体积/mL</w:t>
            </w:r>
          </w:p>
        </w:tc>
        <w:tc>
          <w:tcPr>
            <w:tcW w:w="980" w:type="pct"/>
            <w:noWrap w:val="0"/>
            <w:vAlign w:val="center"/>
          </w:tcPr>
          <w:p w14:paraId="52489563">
            <w:pPr>
              <w:pageBreakBefore w:val="0"/>
              <w:overflowPunct/>
              <w:topLinePunct w:val="0"/>
              <w:bidi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980" w:type="pct"/>
            <w:noWrap w:val="0"/>
            <w:vAlign w:val="center"/>
          </w:tcPr>
          <w:p w14:paraId="73D0B86B">
            <w:pPr>
              <w:pageBreakBefore w:val="0"/>
              <w:overflowPunct/>
              <w:topLinePunct w:val="0"/>
              <w:bidi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983" w:type="pct"/>
            <w:tcBorders>
              <w:right w:val="nil"/>
            </w:tcBorders>
            <w:noWrap w:val="0"/>
            <w:vAlign w:val="center"/>
          </w:tcPr>
          <w:p w14:paraId="4FCB4F08">
            <w:pPr>
              <w:pageBreakBefore w:val="0"/>
              <w:overflowPunct/>
              <w:topLinePunct w:val="0"/>
              <w:bidi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</w:p>
        </w:tc>
      </w:tr>
      <w:tr w14:paraId="5394E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2056" w:type="pct"/>
            <w:tcBorders>
              <w:left w:val="nil"/>
            </w:tcBorders>
            <w:noWrap w:val="0"/>
            <w:vAlign w:val="center"/>
          </w:tcPr>
          <w:p w14:paraId="75E9841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i/>
                <w:iCs/>
                <w:spacing w:val="0"/>
                <w:w w:val="100"/>
                <w:sz w:val="21"/>
                <w:szCs w:val="21"/>
              </w:rPr>
              <w:t>c</w:t>
            </w:r>
            <w:r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  <w:t xml:space="preserve">(HCl)/(mol </w:t>
            </w:r>
            <w:r>
              <w:rPr>
                <w:rFonts w:hint="default" w:ascii="Times New Roman" w:hAnsi="Times New Roman" w:eastAsia="宋体" w:cs="Times New Roman"/>
                <w:spacing w:val="0"/>
                <w:w w:val="100"/>
                <w:sz w:val="21"/>
                <w:szCs w:val="21"/>
              </w:rPr>
              <w:t>•</w:t>
            </w:r>
            <w:r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  <w:t>L</w:t>
            </w:r>
            <w:r>
              <w:rPr>
                <w:rFonts w:hint="eastAsia" w:ascii="Times New Roman" w:hAnsi="Times New Roman"/>
                <w:spacing w:val="0"/>
                <w:w w:val="100"/>
                <w:sz w:val="21"/>
                <w:szCs w:val="21"/>
                <w:vertAlign w:val="superscript"/>
                <w:lang w:val="en-US" w:eastAsia="zh-CN"/>
              </w:rPr>
              <w:t>-1</w:t>
            </w:r>
            <w:r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  <w:t>)</w:t>
            </w:r>
          </w:p>
        </w:tc>
        <w:tc>
          <w:tcPr>
            <w:tcW w:w="980" w:type="pct"/>
            <w:noWrap w:val="0"/>
            <w:vAlign w:val="center"/>
          </w:tcPr>
          <w:p w14:paraId="213C6C56">
            <w:pPr>
              <w:pageBreakBefore w:val="0"/>
              <w:overflowPunct/>
              <w:topLinePunct w:val="0"/>
              <w:bidi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980" w:type="pct"/>
            <w:noWrap w:val="0"/>
            <w:vAlign w:val="center"/>
          </w:tcPr>
          <w:p w14:paraId="76FD7906">
            <w:pPr>
              <w:pageBreakBefore w:val="0"/>
              <w:overflowPunct/>
              <w:topLinePunct w:val="0"/>
              <w:bidi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983" w:type="pct"/>
            <w:tcBorders>
              <w:right w:val="nil"/>
            </w:tcBorders>
            <w:noWrap w:val="0"/>
            <w:vAlign w:val="center"/>
          </w:tcPr>
          <w:p w14:paraId="6F8F246D">
            <w:pPr>
              <w:pageBreakBefore w:val="0"/>
              <w:overflowPunct/>
              <w:topLinePunct w:val="0"/>
              <w:bidi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</w:p>
        </w:tc>
      </w:tr>
      <w:tr w14:paraId="4AB6B9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2056" w:type="pct"/>
            <w:tcBorders>
              <w:left w:val="nil"/>
            </w:tcBorders>
            <w:noWrap w:val="0"/>
            <w:vAlign w:val="center"/>
          </w:tcPr>
          <w:p w14:paraId="4C0705A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  <w:t>平均值</w:t>
            </w:r>
            <m:oMath>
              <m:bar>
                <m:barPr>
                  <m:pos m:val="top"/>
                  <m:ctrlPr>
                    <w:rPr>
                      <w:rFonts w:hint="default" w:ascii="Cambria Math" w:hAnsi="Cambria Math"/>
                      <w:i/>
                      <w:spacing w:val="0"/>
                      <w:w w:val="100"/>
                      <w:sz w:val="24"/>
                      <w:szCs w:val="24"/>
                    </w:rPr>
                  </m:ctrlPr>
                </m:barPr>
                <m:e>
                  <m:r>
                    <m:rPr/>
                    <w:rPr>
                      <w:rFonts w:hint="default" w:ascii="Cambria Math" w:hAnsi="Cambria Math" w:eastAsia="宋体"/>
                      <w:spacing w:val="0"/>
                      <w:w w:val="100"/>
                      <w:sz w:val="24"/>
                      <w:szCs w:val="24"/>
                      <w:lang w:val="en-US" w:eastAsia="zh-CN"/>
                    </w:rPr>
                    <m:t>c</m:t>
                  </m:r>
                  <m:ctrlPr>
                    <w:rPr>
                      <w:rFonts w:hint="default" w:ascii="Cambria Math" w:hAnsi="Cambria Math"/>
                      <w:i/>
                      <w:spacing w:val="0"/>
                      <w:w w:val="100"/>
                      <w:sz w:val="24"/>
                      <w:szCs w:val="24"/>
                    </w:rPr>
                  </m:ctrlPr>
                </m:e>
              </m:bar>
            </m:oMath>
            <w:r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  <w:t>(HCI)/(mol</w:t>
            </w:r>
            <w:r>
              <w:rPr>
                <w:rFonts w:hint="default" w:ascii="Times New Roman" w:hAnsi="Times New Roman" w:eastAsia="宋体" w:cs="Times New Roman"/>
                <w:spacing w:val="0"/>
                <w:w w:val="100"/>
                <w:sz w:val="21"/>
                <w:szCs w:val="21"/>
              </w:rPr>
              <w:t>•</w:t>
            </w:r>
            <w:r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  <w:t>L</w:t>
            </w:r>
            <w:r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  <w:t>)</w:t>
            </w:r>
          </w:p>
        </w:tc>
        <w:tc>
          <w:tcPr>
            <w:tcW w:w="2943" w:type="pct"/>
            <w:gridSpan w:val="3"/>
            <w:tcBorders>
              <w:right w:val="nil"/>
            </w:tcBorders>
            <w:noWrap w:val="0"/>
            <w:vAlign w:val="center"/>
          </w:tcPr>
          <w:p w14:paraId="2BD1BBEF">
            <w:pPr>
              <w:pageBreakBefore w:val="0"/>
              <w:overflowPunct/>
              <w:topLinePunct w:val="0"/>
              <w:bidi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</w:p>
        </w:tc>
      </w:tr>
      <w:tr w14:paraId="241C1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2056" w:type="pct"/>
            <w:tcBorders>
              <w:left w:val="nil"/>
            </w:tcBorders>
            <w:noWrap w:val="0"/>
            <w:vAlign w:val="center"/>
          </w:tcPr>
          <w:p w14:paraId="31AD54E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  <w:t>标准偏差</w:t>
            </w:r>
            <w:r>
              <w:rPr>
                <w:rFonts w:ascii="Times New Roman" w:hAnsi="Times New Roman" w:eastAsia="宋体"/>
                <w:i/>
                <w:iCs/>
                <w:spacing w:val="0"/>
                <w:w w:val="100"/>
                <w:sz w:val="21"/>
                <w:szCs w:val="21"/>
              </w:rPr>
              <w:t>s</w:t>
            </w:r>
          </w:p>
        </w:tc>
        <w:tc>
          <w:tcPr>
            <w:tcW w:w="2943" w:type="pct"/>
            <w:gridSpan w:val="3"/>
            <w:tcBorders>
              <w:right w:val="nil"/>
            </w:tcBorders>
            <w:noWrap w:val="0"/>
            <w:vAlign w:val="center"/>
          </w:tcPr>
          <w:p w14:paraId="57099F75">
            <w:pPr>
              <w:pageBreakBefore w:val="0"/>
              <w:overflowPunct/>
              <w:topLinePunct w:val="0"/>
              <w:bidi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</w:p>
        </w:tc>
      </w:tr>
      <w:tr w14:paraId="25A39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2056" w:type="pct"/>
            <w:tcBorders>
              <w:left w:val="nil"/>
            </w:tcBorders>
            <w:noWrap w:val="0"/>
            <w:vAlign w:val="center"/>
          </w:tcPr>
          <w:p w14:paraId="4A833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hint="default" w:ascii="Cambria Math" w:hAnsi="Cambria Math"/>
                        <w:i/>
                        <w:spacing w:val="0"/>
                        <w:w w:val="100"/>
                        <w:sz w:val="24"/>
                        <w:szCs w:val="24"/>
                      </w:rPr>
                    </m:ctrlPr>
                  </m:barPr>
                  <m:e>
                    <m:r>
                      <m:rPr/>
                      <w:rPr>
                        <w:rFonts w:hint="default" w:ascii="Cambria Math" w:hAnsi="Cambria Math" w:eastAsia="宋体"/>
                        <w:spacing w:val="0"/>
                        <w:w w:val="100"/>
                        <w:sz w:val="24"/>
                        <w:szCs w:val="24"/>
                        <w:lang w:val="en-US" w:eastAsia="zh-CN"/>
                      </w:rPr>
                      <m:t>c</m:t>
                    </m:r>
                    <m:ctrlPr>
                      <w:rPr>
                        <w:rFonts w:hint="default" w:ascii="Cambria Math" w:hAnsi="Cambria Math"/>
                        <w:i/>
                        <w:spacing w:val="0"/>
                        <w:w w:val="100"/>
                        <w:sz w:val="24"/>
                        <w:szCs w:val="24"/>
                      </w:rPr>
                    </m:ctrlPr>
                  </m:e>
                </m:bar>
                <m:r>
                  <m:rPr/>
                  <w:rPr>
                    <w:rFonts w:hint="default" w:ascii="Cambria Math" w:hAnsi="Cambria Math" w:cs="Cambria Math"/>
                    <w:spacing w:val="0"/>
                    <w:w w:val="100"/>
                    <w:sz w:val="24"/>
                    <w:szCs w:val="24"/>
                  </w:rPr>
                  <m:t>±</m:t>
                </m:r>
                <m:f>
                  <m:fPr>
                    <m:ctrlPr>
                      <w:rPr>
                        <w:rFonts w:hint="default" w:ascii="Cambria Math" w:hAnsi="Cambria Math" w:cs="Cambria Math"/>
                        <w:i/>
                        <w:spacing w:val="0"/>
                        <w:w w:val="100"/>
                        <w:sz w:val="24"/>
                        <w:szCs w:val="24"/>
                      </w:rPr>
                    </m:ctrlPr>
                  </m:fPr>
                  <m:num>
                    <m:r>
                      <m:rPr/>
                      <w:rPr>
                        <w:rFonts w:hint="default" w:ascii="Cambria Math" w:hAnsi="Cambria Math" w:cs="Cambria Math"/>
                        <w:spacing w:val="0"/>
                        <w:w w:val="100"/>
                        <w:sz w:val="24"/>
                        <w:szCs w:val="24"/>
                        <w:lang w:val="en-US" w:eastAsia="zh-CN"/>
                      </w:rPr>
                      <m:t>t</m:t>
                    </m:r>
                    <m:r>
                      <m:rPr/>
                      <w:rPr>
                        <w:rFonts w:hint="default" w:ascii="Cambria Math" w:hAnsi="Cambria Math" w:cs="Cambria Math"/>
                        <w:spacing w:val="0"/>
                        <w:w w:val="100"/>
                        <w:sz w:val="24"/>
                        <w:szCs w:val="24"/>
                      </w:rPr>
                      <m:t>∙</m:t>
                    </m:r>
                    <m:r>
                      <m:rPr/>
                      <w:rPr>
                        <w:rFonts w:hint="default" w:ascii="Cambria Math" w:hAnsi="Cambria Math" w:eastAsia="宋体" w:cs="Cambria Math"/>
                        <w:spacing w:val="0"/>
                        <w:w w:val="100"/>
                        <w:sz w:val="24"/>
                        <w:szCs w:val="24"/>
                        <w:lang w:val="en-US" w:eastAsia="zh-CN"/>
                      </w:rPr>
                      <m:t>s</m:t>
                    </m:r>
                    <m:ctrlPr>
                      <w:rPr>
                        <w:rFonts w:hint="default" w:ascii="Cambria Math" w:hAnsi="Cambria Math" w:cs="Cambria Math"/>
                        <w:i/>
                        <w:spacing w:val="0"/>
                        <w:w w:val="100"/>
                        <w:sz w:val="24"/>
                        <w:szCs w:val="24"/>
                      </w:rPr>
                    </m:ctrlPr>
                  </m:num>
                  <m:den>
                    <m:rad>
                      <m:radPr>
                        <m:degHide m:val="1"/>
                        <m:ctrlPr>
                          <w:rPr>
                            <w:rFonts w:hint="default" w:ascii="Cambria Math" w:hAnsi="Cambria Math" w:cs="Cambria Math"/>
                            <w:i/>
                            <w:spacing w:val="0"/>
                            <w:w w:val="100"/>
                            <w:sz w:val="24"/>
                            <w:szCs w:val="24"/>
                          </w:rPr>
                        </m:ctrlPr>
                      </m:radPr>
                      <m:deg>
                        <m:ctrlPr>
                          <w:rPr>
                            <w:rFonts w:hint="default" w:ascii="Cambria Math" w:hAnsi="Cambria Math" w:cs="Cambria Math"/>
                            <w:i/>
                            <w:spacing w:val="0"/>
                            <w:w w:val="100"/>
                            <w:sz w:val="24"/>
                            <w:szCs w:val="24"/>
                          </w:rPr>
                        </m:ctrlPr>
                      </m:deg>
                      <m:e>
                        <m:r>
                          <m:rPr/>
                          <w:rPr>
                            <w:rFonts w:hint="default" w:ascii="Cambria Math" w:hAnsi="Cambria Math" w:eastAsia="宋体" w:cs="Cambria Math"/>
                            <w:spacing w:val="0"/>
                            <w:w w:val="100"/>
                            <w:sz w:val="24"/>
                            <w:szCs w:val="24"/>
                            <w:lang w:val="en-US" w:eastAsia="zh-CN"/>
                          </w:rPr>
                          <m:t>n</m:t>
                        </m:r>
                        <m:ctrlPr>
                          <w:rPr>
                            <w:rFonts w:hint="default" w:ascii="Cambria Math" w:hAnsi="Cambria Math" w:cs="Cambria Math"/>
                            <w:i/>
                            <w:spacing w:val="0"/>
                            <w:w w:val="100"/>
                            <w:sz w:val="24"/>
                            <w:szCs w:val="24"/>
                          </w:rPr>
                        </m:ctrlPr>
                      </m:e>
                    </m:rad>
                    <m:ctrlPr>
                      <w:rPr>
                        <w:rFonts w:hint="default" w:ascii="Cambria Math" w:hAnsi="Cambria Math" w:cs="Cambria Math"/>
                        <w:i/>
                        <w:spacing w:val="0"/>
                        <w:w w:val="100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  <w:tc>
          <w:tcPr>
            <w:tcW w:w="2943" w:type="pct"/>
            <w:gridSpan w:val="3"/>
            <w:tcBorders>
              <w:right w:val="nil"/>
            </w:tcBorders>
            <w:noWrap w:val="0"/>
            <w:vAlign w:val="center"/>
          </w:tcPr>
          <w:p w14:paraId="3D53CC52">
            <w:pPr>
              <w:pageBreakBefore w:val="0"/>
              <w:overflowPunct/>
              <w:topLinePunct w:val="0"/>
              <w:bidi w:val="0"/>
              <w:spacing w:line="240" w:lineRule="auto"/>
              <w:jc w:val="center"/>
              <w:rPr>
                <w:rFonts w:ascii="Times New Roman" w:hAnsi="Times New Roman" w:eastAsia="宋体"/>
                <w:spacing w:val="0"/>
                <w:w w:val="100"/>
                <w:sz w:val="21"/>
                <w:szCs w:val="21"/>
              </w:rPr>
            </w:pPr>
          </w:p>
        </w:tc>
      </w:tr>
    </w:tbl>
    <w:p w14:paraId="418152E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/>
          <w:sz w:val="21"/>
          <w:szCs w:val="21"/>
          <w:lang w:val="en-US" w:eastAsia="zh-CN"/>
        </w:rPr>
      </w:pPr>
    </w:p>
    <w:p w14:paraId="635FD78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u w:val="none"/>
          <w:lang w:val="en-US" w:eastAsia="zh-CN" w:bidi="ar-SA"/>
        </w:rPr>
        <w:t>六、结果分析与讨论</w:t>
      </w:r>
    </w:p>
    <w:p w14:paraId="7633BB2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210" w:firstLineChars="100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（略）</w:t>
      </w:r>
    </w:p>
    <w:p w14:paraId="0FC32BBF">
      <w:pPr>
        <w:numPr>
          <w:ilvl w:val="0"/>
          <w:numId w:val="2"/>
        </w:numPr>
        <w:spacing w:line="440" w:lineRule="exact"/>
        <w:ind w:right="420"/>
        <w:rPr>
          <w:rFonts w:hint="eastAsia" w:ascii="宋体" w:hAnsi="宋体" w:eastAsia="宋体" w:cs="Times New Roman"/>
          <w:bCs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  <w:t>思考与</w:t>
      </w:r>
      <w:bookmarkStart w:id="0" w:name="_GoBack"/>
      <w:bookmarkEnd w:id="0"/>
      <w:r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  <w:t>建议</w:t>
      </w:r>
    </w:p>
    <w:p w14:paraId="4891926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210" w:firstLineChars="100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（略）</w:t>
      </w:r>
    </w:p>
    <w:p w14:paraId="2B9A9092">
      <w:pPr>
        <w:numPr>
          <w:ilvl w:val="0"/>
          <w:numId w:val="0"/>
        </w:numPr>
        <w:spacing w:line="440" w:lineRule="exact"/>
        <w:ind w:right="420" w:rightChars="0"/>
        <w:rPr>
          <w:rFonts w:hint="default" w:ascii="宋体" w:hAnsi="宋体" w:eastAsia="宋体" w:cs="Times New Roman"/>
          <w:bCs/>
          <w:sz w:val="21"/>
          <w:szCs w:val="21"/>
          <w:lang w:val="en-US" w:eastAsia="zh-CN"/>
        </w:rPr>
      </w:pPr>
    </w:p>
    <w:p w14:paraId="15F1191C"/>
    <w:sectPr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E996406-69EB-4336-ACDA-CE364C0FFA2F}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2" w:fontKey="{ED723069-9937-469F-9C29-1175190833F9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8782E2AD-19B4-47A9-B412-83FB07630565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C3E6F2F-01F6-4523-B344-37A6D32A062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18AEE7"/>
    <w:multiLevelType w:val="singleLevel"/>
    <w:tmpl w:val="8D18AEE7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D5F3E82"/>
    <w:multiLevelType w:val="singleLevel"/>
    <w:tmpl w:val="6D5F3E8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F12F2"/>
    <w:rsid w:val="02DA2C0C"/>
    <w:rsid w:val="11271F17"/>
    <w:rsid w:val="22ED58D4"/>
    <w:rsid w:val="2F5549B2"/>
    <w:rsid w:val="412E5504"/>
    <w:rsid w:val="47AB16CB"/>
    <w:rsid w:val="596E1A33"/>
    <w:rsid w:val="5CDF12F2"/>
    <w:rsid w:val="61551816"/>
    <w:rsid w:val="6BE85A28"/>
    <w:rsid w:val="75F16C3C"/>
    <w:rsid w:val="78AC17AD"/>
    <w:rsid w:val="7EC4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ascii="宋体" w:hAnsi="宋体" w:eastAsia="宋体" w:cs="宋体"/>
      <w:sz w:val="48"/>
      <w:szCs w:val="48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2025-10-14T09:10:00Z</dcterms:created>
  <dc:creator>程樊启</dc:creator>
  <cp:lastModifiedBy>程樊启</cp:lastModifiedBy>
  <dcterms:modified xsi:type="dcterms:W3CDTF">2025-10-14T09:12:56Z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2700CD6EDCB44F1C8EC54B759052E0EB_11</vt:lpwstr>
  </property>
  <property fmtid="{D5CDD505-2E9C-101B-9397-08002B2CF9AE}" pid="4" name="KSOTemplateDocerSaveRecord">
    <vt:lpwstr>eyJoZGlkIjoiYTNjZThkMzMxOTJmNjdiN2UwZTg3NmNhZDk0M2RiMTIiLCJ1c2VySWQiOiI2ODMxMDkwNDAifQ==</vt:lpwstr>
  </property>
</Properties>
</file>