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E2B6B">
      <w:pPr>
        <w:spacing w:line="720" w:lineRule="auto"/>
        <w:rPr>
          <w:rFonts w:eastAsia="黑体"/>
          <w:sz w:val="30"/>
        </w:rPr>
      </w:pPr>
      <w:r>
        <w:rPr>
          <w:rFonts w:hint="eastAsia" w:eastAsia="黑体"/>
          <w:sz w:val="30"/>
        </w:rPr>
        <w:t>江苏省高等教育自学考试大纲</w:t>
      </w:r>
    </w:p>
    <w:p w14:paraId="0DF4981E">
      <w:pPr>
        <w:jc w:val="center"/>
        <w:rPr>
          <w:rFonts w:eastAsia="黑体"/>
          <w:sz w:val="30"/>
        </w:rPr>
      </w:pPr>
    </w:p>
    <w:p w14:paraId="7B7C6E1E">
      <w:pPr>
        <w:jc w:val="center"/>
        <w:rPr>
          <w:rFonts w:eastAsia="黑体"/>
          <w:sz w:val="30"/>
        </w:rPr>
      </w:pPr>
    </w:p>
    <w:p w14:paraId="6F997014">
      <w:pPr>
        <w:jc w:val="center"/>
        <w:rPr>
          <w:rFonts w:eastAsia="黑体"/>
          <w:sz w:val="30"/>
        </w:rPr>
      </w:pPr>
    </w:p>
    <w:p w14:paraId="6C6DA0C8">
      <w:pPr>
        <w:jc w:val="center"/>
        <w:rPr>
          <w:rFonts w:eastAsia="黑体"/>
          <w:sz w:val="30"/>
        </w:rPr>
      </w:pPr>
    </w:p>
    <w:p w14:paraId="44BDF9B0">
      <w:pPr>
        <w:jc w:val="center"/>
        <w:rPr>
          <w:rFonts w:eastAsia="黑体"/>
          <w:sz w:val="30"/>
        </w:rPr>
      </w:pPr>
    </w:p>
    <w:p w14:paraId="4720B778">
      <w:pPr>
        <w:jc w:val="center"/>
        <w:rPr>
          <w:rFonts w:eastAsia="黑体"/>
          <w:sz w:val="30"/>
        </w:rPr>
      </w:pPr>
    </w:p>
    <w:p w14:paraId="4D2B4AF6">
      <w:pPr>
        <w:jc w:val="center"/>
        <w:rPr>
          <w:rFonts w:hint="eastAsia" w:ascii="黑体" w:hAnsi="黑体" w:eastAsia="黑体" w:cs="黑体"/>
          <w:b/>
          <w:bCs/>
          <w:sz w:val="48"/>
          <w:szCs w:val="48"/>
          <w:lang w:eastAsia="zh-CN"/>
        </w:rPr>
      </w:pPr>
      <w:bookmarkStart w:id="0" w:name="_Hlk208572333"/>
      <w:r>
        <w:rPr>
          <w:rFonts w:hint="eastAsia" w:ascii="黑体" w:hAnsi="黑体" w:eastAsia="黑体" w:cs="黑体"/>
          <w:b/>
          <w:bCs/>
          <w:sz w:val="48"/>
          <w:szCs w:val="48"/>
        </w:rPr>
        <w:t>1427</w:t>
      </w:r>
      <w:r>
        <w:rPr>
          <w:rFonts w:hint="eastAsia" w:ascii="黑体" w:hAnsi="黑体" w:eastAsia="黑体" w:cs="黑体"/>
          <w:b/>
          <w:bCs/>
          <w:sz w:val="48"/>
          <w:szCs w:val="48"/>
          <w:lang w:val="en-US" w:eastAsia="zh-CN"/>
        </w:rPr>
        <w:t>6</w:t>
      </w:r>
      <w:r>
        <w:rPr>
          <w:rFonts w:hint="eastAsia" w:ascii="黑体" w:hAnsi="黑体" w:eastAsia="黑体" w:cs="黑体"/>
          <w:b/>
          <w:bCs/>
          <w:sz w:val="48"/>
          <w:szCs w:val="48"/>
        </w:rPr>
        <w:t>　水污染控制与管道工程</w:t>
      </w:r>
      <w:bookmarkEnd w:id="0"/>
      <w:r>
        <w:rPr>
          <w:rFonts w:hint="eastAsia" w:ascii="黑体" w:hAnsi="黑体" w:eastAsia="黑体" w:cs="黑体"/>
          <w:b/>
          <w:bCs/>
          <w:sz w:val="48"/>
          <w:szCs w:val="48"/>
          <w:lang w:eastAsia="zh-CN"/>
        </w:rPr>
        <w:t>（</w:t>
      </w:r>
      <w:r>
        <w:rPr>
          <w:rFonts w:hint="eastAsia" w:ascii="黑体" w:hAnsi="黑体" w:eastAsia="黑体" w:cs="黑体"/>
          <w:b/>
          <w:bCs/>
          <w:sz w:val="48"/>
          <w:szCs w:val="48"/>
          <w:lang w:val="en-US" w:eastAsia="zh-CN"/>
        </w:rPr>
        <w:t>实践</w:t>
      </w:r>
      <w:r>
        <w:rPr>
          <w:rFonts w:hint="eastAsia" w:ascii="黑体" w:hAnsi="黑体" w:eastAsia="黑体" w:cs="黑体"/>
          <w:b/>
          <w:bCs/>
          <w:sz w:val="48"/>
          <w:szCs w:val="48"/>
          <w:lang w:eastAsia="zh-CN"/>
        </w:rPr>
        <w:t>）</w:t>
      </w:r>
    </w:p>
    <w:p w14:paraId="10E7AD71">
      <w:pPr>
        <w:spacing w:line="720" w:lineRule="auto"/>
        <w:jc w:val="right"/>
        <w:rPr>
          <w:rFonts w:eastAsia="黑体"/>
          <w:sz w:val="30"/>
        </w:rPr>
      </w:pPr>
    </w:p>
    <w:p w14:paraId="22F57503">
      <w:pPr>
        <w:spacing w:line="720" w:lineRule="auto"/>
        <w:jc w:val="right"/>
        <w:rPr>
          <w:rFonts w:eastAsia="黑体"/>
          <w:sz w:val="30"/>
        </w:rPr>
      </w:pPr>
      <w:r>
        <w:rPr>
          <w:rFonts w:hint="eastAsia" w:eastAsia="黑体"/>
          <w:sz w:val="30"/>
        </w:rPr>
        <w:t>河海大学编（2</w:t>
      </w:r>
      <w:r>
        <w:rPr>
          <w:rFonts w:eastAsia="黑体"/>
          <w:sz w:val="30"/>
        </w:rPr>
        <w:t>02</w:t>
      </w:r>
      <w:r>
        <w:rPr>
          <w:rFonts w:hint="eastAsia" w:eastAsia="黑体"/>
          <w:sz w:val="30"/>
        </w:rPr>
        <w:t>5年）</w:t>
      </w:r>
    </w:p>
    <w:p w14:paraId="3D96A6F7">
      <w:pPr>
        <w:jc w:val="center"/>
        <w:rPr>
          <w:rFonts w:eastAsia="黑体"/>
          <w:sz w:val="30"/>
        </w:rPr>
      </w:pPr>
    </w:p>
    <w:p w14:paraId="57903862">
      <w:pPr>
        <w:jc w:val="center"/>
        <w:rPr>
          <w:rFonts w:eastAsia="黑体"/>
          <w:sz w:val="30"/>
        </w:rPr>
      </w:pPr>
    </w:p>
    <w:p w14:paraId="52CFDB98">
      <w:pPr>
        <w:jc w:val="center"/>
        <w:rPr>
          <w:rFonts w:eastAsia="黑体"/>
          <w:sz w:val="30"/>
        </w:rPr>
      </w:pPr>
    </w:p>
    <w:p w14:paraId="0B2847D0">
      <w:pPr>
        <w:jc w:val="center"/>
        <w:rPr>
          <w:rFonts w:eastAsia="黑体"/>
          <w:sz w:val="30"/>
        </w:rPr>
      </w:pPr>
    </w:p>
    <w:p w14:paraId="2357B820">
      <w:pPr>
        <w:jc w:val="center"/>
        <w:rPr>
          <w:rFonts w:eastAsia="黑体"/>
          <w:sz w:val="30"/>
        </w:rPr>
      </w:pPr>
    </w:p>
    <w:p w14:paraId="773F7AFD">
      <w:pPr>
        <w:jc w:val="center"/>
        <w:rPr>
          <w:rFonts w:eastAsia="黑体"/>
          <w:sz w:val="30"/>
        </w:rPr>
      </w:pPr>
    </w:p>
    <w:p w14:paraId="595E342B">
      <w:pPr>
        <w:jc w:val="center"/>
        <w:rPr>
          <w:rFonts w:eastAsia="黑体"/>
          <w:sz w:val="30"/>
        </w:rPr>
      </w:pPr>
    </w:p>
    <w:p w14:paraId="0E0443FE">
      <w:pPr>
        <w:jc w:val="center"/>
        <w:rPr>
          <w:rFonts w:eastAsia="黑体"/>
          <w:sz w:val="30"/>
        </w:rPr>
      </w:pPr>
    </w:p>
    <w:p w14:paraId="54B1301A">
      <w:pPr>
        <w:spacing w:line="360" w:lineRule="auto"/>
        <w:jc w:val="center"/>
        <w:rPr>
          <w:rFonts w:ascii="黑体" w:hAnsi="黑体" w:eastAsia="黑体" w:cs="黑体"/>
          <w:sz w:val="28"/>
          <w:szCs w:val="36"/>
        </w:rPr>
      </w:pPr>
    </w:p>
    <w:p w14:paraId="2C8F4491">
      <w:pPr>
        <w:spacing w:line="360" w:lineRule="auto"/>
        <w:rPr>
          <w:sz w:val="24"/>
          <w:szCs w:val="32"/>
        </w:rPr>
      </w:pPr>
    </w:p>
    <w:p w14:paraId="209DA20E">
      <w:pPr>
        <w:spacing w:line="360" w:lineRule="auto"/>
        <w:ind w:firstLine="562" w:firstLineChars="200"/>
        <w:rPr>
          <w:rFonts w:hint="eastAsia" w:ascii="宋体" w:hAnsi="宋体" w:eastAsia="宋体" w:cs="Times New Roman"/>
          <w:b/>
          <w:sz w:val="28"/>
          <w:szCs w:val="28"/>
        </w:rPr>
      </w:pPr>
    </w:p>
    <w:p w14:paraId="0F463077">
      <w:pPr>
        <w:spacing w:line="360" w:lineRule="auto"/>
        <w:ind w:firstLine="562" w:firstLineChars="200"/>
        <w:rPr>
          <w:rFonts w:ascii="宋体" w:hAnsi="宋体" w:eastAsia="宋体" w:cs="Times New Roman"/>
          <w:b/>
          <w:sz w:val="28"/>
          <w:szCs w:val="28"/>
        </w:rPr>
      </w:pPr>
      <w:r>
        <w:rPr>
          <w:rFonts w:hint="eastAsia" w:ascii="宋体" w:hAnsi="宋体" w:eastAsia="宋体" w:cs="Times New Roman"/>
          <w:b/>
          <w:sz w:val="28"/>
          <w:szCs w:val="28"/>
        </w:rPr>
        <w:t>一、课程性质和考核目标</w:t>
      </w:r>
    </w:p>
    <w:p w14:paraId="12BE0B24">
      <w:pPr>
        <w:spacing w:line="360" w:lineRule="auto"/>
        <w:ind w:firstLine="562" w:firstLineChars="200"/>
        <w:rPr>
          <w:b/>
          <w:bCs/>
          <w:sz w:val="28"/>
          <w:szCs w:val="28"/>
        </w:rPr>
      </w:pPr>
      <w:r>
        <w:rPr>
          <w:rFonts w:hint="eastAsia"/>
          <w:b/>
          <w:bCs/>
          <w:sz w:val="28"/>
          <w:szCs w:val="28"/>
        </w:rPr>
        <w:t>1.课程性质</w:t>
      </w:r>
    </w:p>
    <w:p w14:paraId="1FBE299D">
      <w:pPr>
        <w:spacing w:line="360" w:lineRule="auto"/>
        <w:ind w:firstLine="560" w:firstLineChars="200"/>
        <w:rPr>
          <w:rFonts w:ascii="楷体" w:hAnsi="楷体" w:eastAsia="楷体" w:cs="楷体"/>
          <w:sz w:val="28"/>
          <w:szCs w:val="28"/>
        </w:rPr>
      </w:pPr>
      <w:r>
        <w:rPr>
          <w:rFonts w:hint="eastAsia" w:ascii="楷体" w:hAnsi="楷体" w:eastAsia="楷体" w:cs="楷体"/>
          <w:color w:val="auto"/>
          <w:sz w:val="28"/>
          <w:szCs w:val="28"/>
        </w:rPr>
        <w:t>《水污染控制与管道工程（实践）》是高等教育自学考试环境工程专业的核心实践课程，属于专业必修环节，与理论课程《水污染控制</w:t>
      </w:r>
      <w:r>
        <w:rPr>
          <w:rFonts w:hint="eastAsia" w:ascii="楷体" w:hAnsi="楷体" w:eastAsia="楷体" w:cs="楷体"/>
          <w:color w:val="auto"/>
          <w:sz w:val="28"/>
          <w:szCs w:val="28"/>
          <w:lang w:val="en-US" w:eastAsia="zh-CN"/>
        </w:rPr>
        <w:t>与管道工程</w:t>
      </w:r>
      <w:r>
        <w:rPr>
          <w:rFonts w:hint="eastAsia" w:ascii="楷体" w:hAnsi="楷体" w:eastAsia="楷体" w:cs="楷体"/>
          <w:color w:val="auto"/>
          <w:sz w:val="28"/>
          <w:szCs w:val="28"/>
        </w:rPr>
        <w:t>》紧密衔接</w:t>
      </w:r>
      <w:r>
        <w:rPr>
          <w:rFonts w:hint="eastAsia" w:ascii="楷体" w:hAnsi="楷体" w:eastAsia="楷体" w:cs="楷体"/>
          <w:color w:val="auto"/>
          <w:sz w:val="28"/>
          <w:szCs w:val="28"/>
          <w:lang w:eastAsia="zh-CN"/>
        </w:rPr>
        <w:t>。</w:t>
      </w:r>
      <w:r>
        <w:rPr>
          <w:rFonts w:hint="eastAsia" w:ascii="楷体" w:hAnsi="楷体" w:eastAsia="楷体" w:cs="楷体"/>
          <w:color w:val="auto"/>
          <w:sz w:val="28"/>
          <w:szCs w:val="28"/>
        </w:rPr>
        <w:t>通过实际操作和工程应用，培养</w:t>
      </w:r>
      <w:r>
        <w:rPr>
          <w:rFonts w:hint="eastAsia" w:ascii="楷体" w:hAnsi="楷体" w:eastAsia="楷体" w:cs="楷体"/>
          <w:color w:val="auto"/>
          <w:sz w:val="28"/>
          <w:szCs w:val="28"/>
          <w:lang w:val="en-US" w:eastAsia="zh-CN"/>
        </w:rPr>
        <w:t>考生</w:t>
      </w:r>
      <w:r>
        <w:rPr>
          <w:rFonts w:hint="eastAsia" w:ascii="楷体" w:hAnsi="楷体" w:eastAsia="楷体" w:cs="楷体"/>
          <w:color w:val="auto"/>
          <w:sz w:val="28"/>
          <w:szCs w:val="28"/>
        </w:rPr>
        <w:t>将理论知识转化为解决复杂环境问题的能力</w:t>
      </w:r>
      <w:r>
        <w:rPr>
          <w:rFonts w:hint="eastAsia" w:ascii="楷体" w:hAnsi="楷体" w:eastAsia="楷体" w:cs="楷体"/>
          <w:color w:val="auto"/>
          <w:sz w:val="28"/>
          <w:szCs w:val="28"/>
          <w:lang w:eastAsia="zh-CN"/>
        </w:rPr>
        <w:t>。</w:t>
      </w:r>
      <w:r>
        <w:rPr>
          <w:rFonts w:hint="eastAsia" w:ascii="楷体" w:hAnsi="楷体" w:eastAsia="楷体" w:cs="楷体"/>
          <w:sz w:val="28"/>
          <w:szCs w:val="28"/>
        </w:rPr>
        <w:t>可使</w:t>
      </w:r>
      <w:r>
        <w:rPr>
          <w:rFonts w:hint="eastAsia" w:ascii="楷体" w:hAnsi="楷体" w:eastAsia="楷体" w:cs="楷体"/>
          <w:sz w:val="28"/>
          <w:szCs w:val="28"/>
          <w:lang w:val="en-US" w:eastAsia="zh-CN"/>
        </w:rPr>
        <w:t>考生</w:t>
      </w:r>
      <w:r>
        <w:rPr>
          <w:rFonts w:hint="eastAsia" w:ascii="楷体" w:hAnsi="楷体" w:eastAsia="楷体" w:cs="楷体"/>
          <w:sz w:val="28"/>
          <w:szCs w:val="28"/>
        </w:rPr>
        <w:t>能主动地进行一般水污染控制与管道工程的规划、设计和运行管理，并具有从事初步的科学研究和开发的能力。</w:t>
      </w:r>
    </w:p>
    <w:p w14:paraId="5D4F3517">
      <w:pPr>
        <w:spacing w:line="360" w:lineRule="auto"/>
        <w:ind w:firstLine="562" w:firstLineChars="200"/>
        <w:rPr>
          <w:b/>
          <w:bCs/>
          <w:sz w:val="28"/>
          <w:szCs w:val="28"/>
        </w:rPr>
      </w:pPr>
      <w:r>
        <w:rPr>
          <w:rFonts w:hint="eastAsia"/>
          <w:b/>
          <w:bCs/>
          <w:sz w:val="28"/>
          <w:szCs w:val="28"/>
        </w:rPr>
        <w:t>2.考核目标</w:t>
      </w:r>
    </w:p>
    <w:p w14:paraId="42B49104">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课程考核以能力导向为原则，重点检验</w:t>
      </w:r>
      <w:r>
        <w:rPr>
          <w:rFonts w:hint="eastAsia" w:ascii="楷体" w:hAnsi="楷体" w:eastAsia="楷体" w:cs="楷体"/>
          <w:sz w:val="28"/>
          <w:szCs w:val="28"/>
          <w:lang w:val="en-US" w:eastAsia="zh-CN"/>
        </w:rPr>
        <w:t>考生</w:t>
      </w:r>
      <w:r>
        <w:rPr>
          <w:rFonts w:hint="eastAsia" w:ascii="楷体" w:hAnsi="楷体" w:eastAsia="楷体" w:cs="楷体"/>
          <w:sz w:val="28"/>
          <w:szCs w:val="28"/>
        </w:rPr>
        <w:t>对水污染控制与管道工程实践技能的掌握程度。</w:t>
      </w:r>
    </w:p>
    <w:p w14:paraId="242C223E">
      <w:pPr>
        <w:spacing w:line="360" w:lineRule="auto"/>
        <w:ind w:firstLine="562" w:firstLineChars="200"/>
        <w:rPr>
          <w:b/>
          <w:bCs/>
          <w:sz w:val="28"/>
          <w:szCs w:val="28"/>
        </w:rPr>
      </w:pPr>
      <w:r>
        <w:rPr>
          <w:rFonts w:hint="eastAsia"/>
          <w:b/>
          <w:bCs/>
          <w:sz w:val="28"/>
          <w:szCs w:val="28"/>
        </w:rPr>
        <w:t>二、考核内容</w:t>
      </w:r>
    </w:p>
    <w:p w14:paraId="4C2A6B8E">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本课程的考核内容以江苏省高等教育自学考试大纲“14274　水污染控制与管道工程”为依据，考核的主要内容为大纲中要求应用的内容部分，主要涉及章节如下：</w:t>
      </w:r>
    </w:p>
    <w:p w14:paraId="126D07EC">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第四章  城镇雨水管渠的设计</w:t>
      </w:r>
    </w:p>
    <w:p w14:paraId="7BD59A55">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第五章  排水泵站的设计</w:t>
      </w:r>
    </w:p>
    <w:p w14:paraId="4C8EB886">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第九章  污水水质和污水出路</w:t>
      </w:r>
    </w:p>
    <w:p w14:paraId="1A49BA15">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第十章  污水的物理处理</w:t>
      </w:r>
    </w:p>
    <w:p w14:paraId="19748376">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第十二章  活性污泥法</w:t>
      </w:r>
    </w:p>
    <w:p w14:paraId="25E3F274">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 xml:space="preserve">第十八章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污泥的处理与处置</w:t>
      </w:r>
    </w:p>
    <w:p w14:paraId="34D9028A">
      <w:pPr>
        <w:spacing w:line="360" w:lineRule="auto"/>
        <w:ind w:firstLine="562" w:firstLineChars="200"/>
        <w:rPr>
          <w:b/>
          <w:bCs/>
          <w:sz w:val="28"/>
          <w:szCs w:val="28"/>
        </w:rPr>
      </w:pPr>
      <w:r>
        <w:rPr>
          <w:rFonts w:hint="eastAsia"/>
          <w:b/>
          <w:bCs/>
          <w:sz w:val="28"/>
          <w:szCs w:val="28"/>
        </w:rPr>
        <w:t>三、考核说明</w:t>
      </w:r>
    </w:p>
    <w:p w14:paraId="04433D08">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坚持质量标准，注重能力考查，使考核合格者能达到一般普通高等学校同专业同课程的结业水平，并体现自学考试以培养应用型人才为主要目标的特点。</w:t>
      </w:r>
    </w:p>
    <w:p w14:paraId="29966015">
      <w:pPr>
        <w:spacing w:line="360" w:lineRule="auto"/>
        <w:ind w:firstLine="562" w:firstLineChars="200"/>
        <w:rPr>
          <w:b/>
          <w:bCs/>
          <w:sz w:val="28"/>
          <w:szCs w:val="28"/>
        </w:rPr>
      </w:pPr>
      <w:r>
        <w:rPr>
          <w:rFonts w:hint="eastAsia"/>
          <w:b/>
          <w:bCs/>
          <w:sz w:val="28"/>
          <w:szCs w:val="28"/>
          <w:lang w:val="en-US" w:eastAsia="zh-CN"/>
        </w:rPr>
        <w:t>1</w:t>
      </w:r>
      <w:r>
        <w:rPr>
          <w:rFonts w:hint="eastAsia"/>
          <w:b/>
          <w:bCs/>
          <w:sz w:val="28"/>
          <w:szCs w:val="28"/>
        </w:rPr>
        <w:t>.本课程考核的知识与能力的关系</w:t>
      </w:r>
    </w:p>
    <w:p w14:paraId="08F0D3C8">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水污染控制与管道工程（设计和实践）》课程主要目的是考核考生的基本理论、基本知识和基本技能，以及联系实际、运用所学的理论分析问题和解决问题的能力，确保考核合格者达到全日制普通高等学校本专业相同课程的结业水平。</w:t>
      </w:r>
    </w:p>
    <w:p w14:paraId="19F96471">
      <w:pPr>
        <w:numPr>
          <w:ilvl w:val="0"/>
          <w:numId w:val="0"/>
        </w:numPr>
        <w:spacing w:line="360" w:lineRule="auto"/>
        <w:ind w:firstLine="562" w:firstLineChars="200"/>
        <w:rPr>
          <w:b/>
          <w:bCs/>
          <w:sz w:val="28"/>
          <w:szCs w:val="28"/>
        </w:rPr>
      </w:pPr>
      <w:r>
        <w:rPr>
          <w:rFonts w:hint="eastAsia"/>
          <w:b/>
          <w:bCs/>
          <w:sz w:val="28"/>
          <w:szCs w:val="28"/>
          <w:lang w:val="en-US" w:eastAsia="zh-CN"/>
        </w:rPr>
        <w:t>2.</w:t>
      </w:r>
      <w:r>
        <w:rPr>
          <w:rFonts w:hint="eastAsia"/>
          <w:b/>
          <w:bCs/>
          <w:sz w:val="28"/>
          <w:szCs w:val="28"/>
        </w:rPr>
        <w:t>考核对象</w:t>
      </w:r>
    </w:p>
    <w:p w14:paraId="0F8F1327">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该实践课程的开展，须建立在已完成《水污染控制与管道工程》理论课程（课程代码14274）的基础之上。</w:t>
      </w:r>
    </w:p>
    <w:p w14:paraId="7EDE794F">
      <w:pPr>
        <w:numPr>
          <w:ilvl w:val="0"/>
          <w:numId w:val="1"/>
        </w:numPr>
        <w:spacing w:line="360" w:lineRule="auto"/>
        <w:ind w:firstLine="562" w:firstLineChars="200"/>
        <w:rPr>
          <w:b/>
          <w:bCs/>
          <w:sz w:val="28"/>
          <w:szCs w:val="28"/>
        </w:rPr>
      </w:pPr>
      <w:r>
        <w:rPr>
          <w:rFonts w:hint="eastAsia"/>
          <w:b/>
          <w:bCs/>
          <w:sz w:val="28"/>
          <w:szCs w:val="28"/>
        </w:rPr>
        <w:t>考核方法</w:t>
      </w:r>
    </w:p>
    <w:p w14:paraId="37E0CA1B">
      <w:pPr>
        <w:spacing w:line="360" w:lineRule="auto"/>
        <w:ind w:firstLine="562" w:firstLineChars="200"/>
        <w:rPr>
          <w:rFonts w:ascii="楷体" w:hAnsi="楷体" w:eastAsia="楷体" w:cs="楷体"/>
          <w:b/>
          <w:bCs/>
          <w:sz w:val="28"/>
          <w:szCs w:val="28"/>
        </w:rPr>
      </w:pPr>
      <w:r>
        <w:rPr>
          <w:rFonts w:hint="eastAsia" w:ascii="楷体" w:hAnsi="楷体" w:eastAsia="楷体" w:cs="楷体"/>
          <w:b/>
          <w:bCs/>
          <w:sz w:val="28"/>
          <w:szCs w:val="28"/>
        </w:rPr>
        <w:t>该实践课程的考核形式为撰写实践调研报告。</w:t>
      </w:r>
    </w:p>
    <w:p w14:paraId="45B631C5">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1.设计手册报告或实践调研报告字数不少于3000字，正文宋体4号、1.5倍行距；采用百分制，60分为及格线。</w:t>
      </w:r>
    </w:p>
    <w:p w14:paraId="79A022BD">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2.实践主题</w:t>
      </w:r>
    </w:p>
    <w:p w14:paraId="0F619424">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实践主题（1）污泥比阻测试方案与研究进展</w:t>
      </w:r>
    </w:p>
    <w:p w14:paraId="2D7CD6B6">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实践主题（2）混凝搅拌实验方案与研究进展</w:t>
      </w:r>
    </w:p>
    <w:p w14:paraId="2945CF59">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实践主题（3）吸附性能实验方案与研究进展</w:t>
      </w:r>
    </w:p>
    <w:p w14:paraId="76304AE4">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实践主题（4）自由沉淀实验方案与研究进展</w:t>
      </w:r>
    </w:p>
    <w:p w14:paraId="35B60A8F">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实践主题（5）活性污泥法实验与研究进展</w:t>
      </w:r>
    </w:p>
    <w:p w14:paraId="23BFE1FF">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实践主题（6）活性污泥性能测试与研究进展</w:t>
      </w:r>
    </w:p>
    <w:p w14:paraId="2A3839D9">
      <w:pPr>
        <w:spacing w:line="360" w:lineRule="auto"/>
        <w:ind w:firstLine="562" w:firstLineChars="200"/>
        <w:rPr>
          <w:rFonts w:ascii="楷体" w:hAnsi="楷体" w:eastAsia="楷体" w:cs="楷体"/>
          <w:b/>
          <w:bCs/>
          <w:sz w:val="28"/>
          <w:szCs w:val="28"/>
        </w:rPr>
      </w:pPr>
      <w:r>
        <w:rPr>
          <w:rFonts w:hint="eastAsia" w:ascii="楷体" w:hAnsi="楷体" w:eastAsia="楷体" w:cs="楷体"/>
          <w:b/>
          <w:bCs/>
          <w:sz w:val="28"/>
          <w:szCs w:val="28"/>
        </w:rPr>
        <w:t>考生必须从以上主题选取一个作为自己实践报告的选题。</w:t>
      </w:r>
    </w:p>
    <w:p w14:paraId="4A100775">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3.实践形式：根据所选主题，开展前期调研、计算和设计；对于选择的实践主题，开展实验方案设计、调研和研究进展梳理。</w:t>
      </w:r>
    </w:p>
    <w:p w14:paraId="63FAF43C">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4.其它：实践报告使用的数据是引用的，必须在注释中写明出处以及文章和作用。</w:t>
      </w:r>
    </w:p>
    <w:p w14:paraId="2D788EBE">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5.实践报告标题按阶梯分类标题进行分类：如一、(一)、1、（1）……</w:t>
      </w:r>
    </w:p>
    <w:p w14:paraId="0508ECEA">
      <w:pPr>
        <w:spacing w:line="360" w:lineRule="auto"/>
        <w:ind w:firstLine="562" w:firstLineChars="200"/>
        <w:rPr>
          <w:b/>
          <w:bCs/>
          <w:sz w:val="28"/>
          <w:szCs w:val="28"/>
        </w:rPr>
      </w:pPr>
      <w:r>
        <w:rPr>
          <w:rFonts w:hint="eastAsia"/>
          <w:b/>
          <w:bCs/>
          <w:sz w:val="28"/>
          <w:szCs w:val="28"/>
        </w:rPr>
        <w:t>五、报告要求</w:t>
      </w:r>
    </w:p>
    <w:p w14:paraId="427570F9">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1.主题鲜明、观点明确。切入点准，角度合适。</w:t>
      </w:r>
    </w:p>
    <w:p w14:paraId="2E7BE17E">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2.逻辑严密、说理清晰。说理要透、案例要实。</w:t>
      </w:r>
    </w:p>
    <w:p w14:paraId="61865ADD">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3.文字准确、格式规范。</w:t>
      </w:r>
    </w:p>
    <w:p w14:paraId="788D28A4">
      <w:pPr>
        <w:rPr>
          <w:sz w:val="24"/>
          <w:szCs w:val="32"/>
        </w:rPr>
      </w:pPr>
      <w:r>
        <w:rPr>
          <w:sz w:val="24"/>
          <w:szCs w:val="32"/>
        </w:rPr>
        <w:br w:type="page"/>
      </w:r>
    </w:p>
    <w:p w14:paraId="6424AB68">
      <w:pPr>
        <w:rPr>
          <w:rFonts w:ascii="黑体" w:hAnsi="黑体" w:eastAsia="黑体" w:cs="黑体"/>
          <w:sz w:val="32"/>
          <w:szCs w:val="40"/>
        </w:rPr>
      </w:pPr>
      <w:r>
        <w:rPr>
          <w:rFonts w:hint="eastAsia" w:ascii="黑体" w:hAnsi="黑体" w:eastAsia="黑体" w:cs="黑体"/>
          <w:sz w:val="32"/>
          <w:szCs w:val="40"/>
        </w:rPr>
        <w:t>范例</w:t>
      </w:r>
    </w:p>
    <w:p w14:paraId="41EE2EBE"/>
    <w:p w14:paraId="69841992">
      <w:pPr>
        <w:rPr>
          <w:rFonts w:eastAsia="隶书"/>
        </w:rPr>
      </w:pPr>
    </w:p>
    <w:p w14:paraId="0BD5DB1F">
      <w:pPr>
        <w:jc w:val="center"/>
        <w:rPr>
          <w:rFonts w:eastAsia="华文新魏"/>
          <w:sz w:val="60"/>
          <w:szCs w:val="32"/>
        </w:rPr>
      </w:pPr>
      <w:r>
        <w:rPr>
          <w:rFonts w:hint="eastAsia" w:eastAsia="华文新魏"/>
          <w:sz w:val="60"/>
          <w:szCs w:val="32"/>
        </w:rPr>
        <w:t>河海大学</w:t>
      </w:r>
    </w:p>
    <w:p w14:paraId="2643E903">
      <w:pPr>
        <w:jc w:val="center"/>
        <w:rPr>
          <w:rFonts w:ascii="宋体" w:hAnsi="宋体"/>
          <w:b/>
          <w:bCs/>
          <w:sz w:val="36"/>
          <w:szCs w:val="36"/>
        </w:rPr>
      </w:pPr>
      <w:r>
        <w:rPr>
          <w:rFonts w:hint="eastAsia" w:eastAsia="华文新魏"/>
          <w:b/>
          <w:bCs/>
        </w:rPr>
        <w:t xml:space="preserve"> </w:t>
      </w:r>
    </w:p>
    <w:p w14:paraId="164EED23">
      <w:pPr>
        <w:jc w:val="center"/>
        <w:rPr>
          <w:rFonts w:eastAsia="华文新魏"/>
          <w:sz w:val="84"/>
          <w:szCs w:val="84"/>
        </w:rPr>
      </w:pPr>
      <w:r>
        <w:rPr>
          <w:rFonts w:hint="eastAsia" w:eastAsia="华文新魏"/>
          <w:sz w:val="84"/>
          <w:szCs w:val="84"/>
        </w:rPr>
        <w:t>课程实践报告</w:t>
      </w:r>
    </w:p>
    <w:p w14:paraId="6CEC1168">
      <w:pPr>
        <w:jc w:val="center"/>
        <w:rPr>
          <w:rFonts w:eastAsia="华文新魏"/>
          <w:b/>
          <w:bCs/>
          <w:sz w:val="48"/>
        </w:rPr>
      </w:pPr>
    </w:p>
    <w:p w14:paraId="3764BDBD">
      <w:pPr>
        <w:jc w:val="center"/>
        <w:rPr>
          <w:rFonts w:eastAsia="华文新魏"/>
          <w:b/>
          <w:bCs/>
          <w:sz w:val="48"/>
        </w:rPr>
      </w:pPr>
    </w:p>
    <w:p w14:paraId="76AB9C41">
      <w:pPr>
        <w:spacing w:line="360" w:lineRule="auto"/>
        <w:ind w:left="2166" w:leftChars="460" w:hanging="1200" w:hangingChars="250"/>
        <w:jc w:val="center"/>
        <w:rPr>
          <w:rFonts w:ascii="楷体_GB2312" w:eastAsia="楷体_GB2312"/>
          <w:b/>
          <w:color w:val="0000FF"/>
          <w:sz w:val="36"/>
          <w:szCs w:val="36"/>
        </w:rPr>
      </w:pPr>
      <w:r>
        <w:rPr>
          <w:rFonts w:hint="eastAsia" w:eastAsia="华文新魏"/>
          <w:sz w:val="48"/>
        </w:rPr>
        <w:t>题目</w:t>
      </w:r>
      <w:r>
        <w:rPr>
          <w:rFonts w:hint="eastAsia" w:eastAsia="华文新魏"/>
          <w:b/>
          <w:bCs/>
          <w:sz w:val="36"/>
        </w:rPr>
        <w:t>：</w:t>
      </w:r>
      <w:bookmarkStart w:id="1" w:name="_Hlk208576148"/>
      <w:r>
        <w:rPr>
          <w:rFonts w:hint="eastAsia" w:ascii="楷体_GB2312" w:eastAsia="楷体_GB2312"/>
          <w:b/>
          <w:color w:val="0000FF"/>
          <w:sz w:val="36"/>
          <w:szCs w:val="36"/>
        </w:rPr>
        <w:t>污泥比阻测试方案与研究进展</w:t>
      </w:r>
      <w:bookmarkEnd w:id="1"/>
    </w:p>
    <w:p w14:paraId="30966638">
      <w:pPr>
        <w:spacing w:line="360" w:lineRule="auto"/>
        <w:ind w:left="1766" w:leftChars="460" w:hanging="800" w:hangingChars="250"/>
        <w:rPr>
          <w:rFonts w:eastAsia="黑体"/>
          <w:sz w:val="32"/>
          <w:szCs w:val="32"/>
        </w:rPr>
      </w:pPr>
    </w:p>
    <w:p w14:paraId="14DC4EE2">
      <w:pPr>
        <w:ind w:firstLine="2162" w:firstLineChars="600"/>
        <w:rPr>
          <w:rFonts w:eastAsia="华文新魏"/>
          <w:b/>
          <w:bCs/>
          <w:sz w:val="36"/>
        </w:rPr>
      </w:pPr>
    </w:p>
    <w:p w14:paraId="62CAF417">
      <w:pPr>
        <w:ind w:firstLine="2162" w:firstLineChars="600"/>
        <w:rPr>
          <w:rFonts w:eastAsia="华文新魏"/>
          <w:b/>
          <w:bCs/>
          <w:sz w:val="36"/>
        </w:rPr>
      </w:pPr>
    </w:p>
    <w:tbl>
      <w:tblPr>
        <w:tblStyle w:val="10"/>
        <w:tblW w:w="0" w:type="auto"/>
        <w:jc w:val="center"/>
        <w:tblLayout w:type="fixed"/>
        <w:tblCellMar>
          <w:top w:w="0" w:type="dxa"/>
          <w:left w:w="108" w:type="dxa"/>
          <w:bottom w:w="0" w:type="dxa"/>
          <w:right w:w="108" w:type="dxa"/>
        </w:tblCellMar>
      </w:tblPr>
      <w:tblGrid>
        <w:gridCol w:w="2160"/>
        <w:gridCol w:w="3625"/>
      </w:tblGrid>
      <w:tr w14:paraId="3ED3B35A">
        <w:tblPrEx>
          <w:tblCellMar>
            <w:top w:w="0" w:type="dxa"/>
            <w:left w:w="108" w:type="dxa"/>
            <w:bottom w:w="0" w:type="dxa"/>
            <w:right w:w="108" w:type="dxa"/>
          </w:tblCellMar>
        </w:tblPrEx>
        <w:trPr>
          <w:cantSplit/>
          <w:jc w:val="center"/>
        </w:trPr>
        <w:tc>
          <w:tcPr>
            <w:tcW w:w="2160" w:type="dxa"/>
          </w:tcPr>
          <w:p w14:paraId="1F02F4D8">
            <w:pPr>
              <w:rPr>
                <w:rFonts w:ascii="黑体" w:hAnsi="黑体" w:eastAsia="黑体" w:cs="黑体"/>
                <w:sz w:val="36"/>
                <w:szCs w:val="36"/>
              </w:rPr>
            </w:pPr>
            <w:r>
              <w:rPr>
                <w:rFonts w:hint="eastAsia" w:ascii="黑体" w:hAnsi="黑体" w:eastAsia="黑体" w:cs="黑体"/>
                <w:sz w:val="36"/>
                <w:szCs w:val="36"/>
              </w:rPr>
              <w:t>姓    名：</w:t>
            </w:r>
          </w:p>
        </w:tc>
        <w:tc>
          <w:tcPr>
            <w:tcW w:w="3625" w:type="dxa"/>
            <w:tcBorders>
              <w:bottom w:val="single" w:color="auto" w:sz="4" w:space="0"/>
            </w:tcBorders>
          </w:tcPr>
          <w:p w14:paraId="4F77B7D1">
            <w:pPr>
              <w:rPr>
                <w:rFonts w:ascii="华文新魏" w:eastAsia="华文新魏"/>
                <w:b/>
                <w:bCs/>
                <w:sz w:val="36"/>
                <w:szCs w:val="36"/>
              </w:rPr>
            </w:pPr>
          </w:p>
        </w:tc>
      </w:tr>
      <w:tr w14:paraId="38393F7E">
        <w:tblPrEx>
          <w:tblCellMar>
            <w:top w:w="0" w:type="dxa"/>
            <w:left w:w="108" w:type="dxa"/>
            <w:bottom w:w="0" w:type="dxa"/>
            <w:right w:w="108" w:type="dxa"/>
          </w:tblCellMar>
        </w:tblPrEx>
        <w:trPr>
          <w:cantSplit/>
          <w:jc w:val="center"/>
        </w:trPr>
        <w:tc>
          <w:tcPr>
            <w:tcW w:w="2160" w:type="dxa"/>
          </w:tcPr>
          <w:p w14:paraId="5A946926">
            <w:pPr>
              <w:rPr>
                <w:rFonts w:ascii="黑体" w:hAnsi="黑体" w:eastAsia="黑体" w:cs="黑体"/>
                <w:sz w:val="36"/>
                <w:szCs w:val="36"/>
              </w:rPr>
            </w:pPr>
            <w:r>
              <w:rPr>
                <w:rFonts w:hint="eastAsia" w:ascii="黑体" w:hAnsi="黑体" w:eastAsia="黑体" w:cs="黑体"/>
                <w:sz w:val="36"/>
                <w:szCs w:val="36"/>
              </w:rPr>
              <w:t>准考证号：</w:t>
            </w:r>
          </w:p>
        </w:tc>
        <w:tc>
          <w:tcPr>
            <w:tcW w:w="3625" w:type="dxa"/>
            <w:tcBorders>
              <w:top w:val="single" w:color="auto" w:sz="4" w:space="0"/>
              <w:bottom w:val="single" w:color="auto" w:sz="4" w:space="0"/>
            </w:tcBorders>
          </w:tcPr>
          <w:p w14:paraId="0A92AE66">
            <w:pPr>
              <w:rPr>
                <w:rFonts w:ascii="华文新魏" w:eastAsia="华文新魏"/>
                <w:b/>
                <w:bCs/>
                <w:sz w:val="36"/>
                <w:szCs w:val="36"/>
              </w:rPr>
            </w:pPr>
          </w:p>
        </w:tc>
      </w:tr>
      <w:tr w14:paraId="5F6FAB55">
        <w:tblPrEx>
          <w:tblCellMar>
            <w:top w:w="0" w:type="dxa"/>
            <w:left w:w="108" w:type="dxa"/>
            <w:bottom w:w="0" w:type="dxa"/>
            <w:right w:w="108" w:type="dxa"/>
          </w:tblCellMar>
        </w:tblPrEx>
        <w:trPr>
          <w:cantSplit/>
          <w:jc w:val="center"/>
        </w:trPr>
        <w:tc>
          <w:tcPr>
            <w:tcW w:w="2160" w:type="dxa"/>
          </w:tcPr>
          <w:p w14:paraId="0745A6B5">
            <w:pPr>
              <w:rPr>
                <w:rFonts w:ascii="黑体" w:hAnsi="黑体" w:eastAsia="黑体" w:cs="黑体"/>
                <w:sz w:val="36"/>
                <w:szCs w:val="36"/>
              </w:rPr>
            </w:pPr>
            <w:r>
              <w:rPr>
                <w:rFonts w:hint="eastAsia" w:ascii="黑体" w:hAnsi="黑体" w:eastAsia="黑体" w:cs="黑体"/>
                <w:sz w:val="36"/>
                <w:szCs w:val="36"/>
              </w:rPr>
              <w:t>专    业：</w:t>
            </w:r>
          </w:p>
        </w:tc>
        <w:tc>
          <w:tcPr>
            <w:tcW w:w="3625" w:type="dxa"/>
            <w:tcBorders>
              <w:bottom w:val="single" w:color="auto" w:sz="4" w:space="0"/>
            </w:tcBorders>
          </w:tcPr>
          <w:p w14:paraId="161930BE">
            <w:pPr>
              <w:rPr>
                <w:rFonts w:ascii="华文新魏" w:eastAsia="华文新魏"/>
                <w:b/>
                <w:bCs/>
                <w:sz w:val="36"/>
                <w:szCs w:val="36"/>
              </w:rPr>
            </w:pPr>
          </w:p>
        </w:tc>
      </w:tr>
      <w:tr w14:paraId="7025523F">
        <w:tblPrEx>
          <w:tblCellMar>
            <w:top w:w="0" w:type="dxa"/>
            <w:left w:w="108" w:type="dxa"/>
            <w:bottom w:w="0" w:type="dxa"/>
            <w:right w:w="108" w:type="dxa"/>
          </w:tblCellMar>
        </w:tblPrEx>
        <w:trPr>
          <w:cantSplit/>
          <w:jc w:val="center"/>
        </w:trPr>
        <w:tc>
          <w:tcPr>
            <w:tcW w:w="2160" w:type="dxa"/>
          </w:tcPr>
          <w:p w14:paraId="5A0CD290">
            <w:pPr>
              <w:rPr>
                <w:rFonts w:ascii="黑体" w:hAnsi="黑体" w:eastAsia="黑体" w:cs="黑体"/>
                <w:sz w:val="36"/>
                <w:szCs w:val="36"/>
              </w:rPr>
            </w:pPr>
            <w:r>
              <w:rPr>
                <w:rFonts w:hint="eastAsia" w:ascii="黑体" w:hAnsi="黑体" w:eastAsia="黑体" w:cs="黑体"/>
                <w:sz w:val="36"/>
                <w:szCs w:val="36"/>
              </w:rPr>
              <w:t>实践课程：</w:t>
            </w:r>
          </w:p>
        </w:tc>
        <w:tc>
          <w:tcPr>
            <w:tcW w:w="3625" w:type="dxa"/>
            <w:tcBorders>
              <w:bottom w:val="single" w:color="auto" w:sz="4" w:space="0"/>
            </w:tcBorders>
          </w:tcPr>
          <w:p w14:paraId="38F6D3BA">
            <w:pPr>
              <w:rPr>
                <w:rFonts w:ascii="华文新魏" w:eastAsia="华文新魏"/>
                <w:b/>
                <w:bCs/>
                <w:sz w:val="36"/>
                <w:szCs w:val="36"/>
              </w:rPr>
            </w:pPr>
          </w:p>
        </w:tc>
      </w:tr>
    </w:tbl>
    <w:p w14:paraId="62D12642">
      <w:pPr>
        <w:ind w:firstLine="2162" w:firstLineChars="600"/>
        <w:rPr>
          <w:rFonts w:ascii="华文新魏" w:eastAsia="华文新魏"/>
          <w:b/>
          <w:bCs/>
          <w:sz w:val="36"/>
          <w:szCs w:val="36"/>
        </w:rPr>
      </w:pPr>
    </w:p>
    <w:p w14:paraId="0CB5970F">
      <w:pPr>
        <w:ind w:firstLine="2162" w:firstLineChars="600"/>
        <w:rPr>
          <w:rFonts w:ascii="华文新魏" w:eastAsia="华文新魏"/>
          <w:b/>
          <w:bCs/>
          <w:sz w:val="36"/>
          <w:szCs w:val="36"/>
        </w:rPr>
      </w:pPr>
    </w:p>
    <w:p w14:paraId="2D70CF33">
      <w:pPr>
        <w:ind w:firstLine="2162" w:firstLineChars="600"/>
        <w:rPr>
          <w:rFonts w:ascii="华文新魏" w:eastAsia="华文新魏"/>
          <w:b/>
          <w:bCs/>
          <w:sz w:val="36"/>
          <w:szCs w:val="36"/>
        </w:rPr>
      </w:pPr>
    </w:p>
    <w:p w14:paraId="5BC9AC92">
      <w:pPr>
        <w:jc w:val="center"/>
        <w:rPr>
          <w:rFonts w:ascii="黑体" w:hAnsi="黑体" w:eastAsia="黑体" w:cs="黑体"/>
          <w:sz w:val="40"/>
          <w:szCs w:val="40"/>
        </w:rPr>
      </w:pPr>
      <w:r>
        <w:rPr>
          <w:rFonts w:hint="eastAsia" w:ascii="黑体" w:hAnsi="黑体" w:eastAsia="黑体" w:cs="黑体"/>
          <w:sz w:val="40"/>
          <w:szCs w:val="40"/>
          <w:lang w:val="en-US" w:eastAsia="zh-CN"/>
        </w:rPr>
        <w:t xml:space="preserve"> </w:t>
      </w:r>
      <w:bookmarkStart w:id="2" w:name="_GoBack"/>
      <w:bookmarkEnd w:id="2"/>
      <w:r>
        <w:rPr>
          <w:rFonts w:hint="eastAsia" w:ascii="黑体" w:hAnsi="黑体" w:eastAsia="黑体" w:cs="黑体"/>
          <w:sz w:val="40"/>
          <w:szCs w:val="40"/>
        </w:rPr>
        <w:t>年  月  日</w:t>
      </w:r>
    </w:p>
    <w:p w14:paraId="62EE3D18">
      <w:pPr>
        <w:jc w:val="center"/>
        <w:rPr>
          <w:bCs/>
        </w:rPr>
      </w:pPr>
      <w:r>
        <w:rPr>
          <w:rFonts w:eastAsia="华文新魏"/>
          <w:b/>
          <w:bCs/>
          <w:sz w:val="30"/>
        </w:rPr>
        <w:br w:type="page"/>
      </w:r>
    </w:p>
    <w:p w14:paraId="535E91EC">
      <w:pPr>
        <w:spacing w:line="360" w:lineRule="auto"/>
        <w:ind w:firstLine="640" w:firstLineChars="200"/>
        <w:jc w:val="center"/>
        <w:rPr>
          <w:rFonts w:ascii="宋体" w:hAnsi="宋体"/>
          <w:b/>
          <w:sz w:val="32"/>
          <w:szCs w:val="32"/>
          <w:highlight w:val="yellow"/>
        </w:rPr>
      </w:pPr>
      <w:r>
        <w:rPr>
          <w:rFonts w:hint="eastAsia" w:ascii="黑体" w:hAnsi="黑体" w:eastAsia="黑体" w:cs="黑体"/>
          <w:bCs/>
          <w:color w:val="0000FF"/>
          <w:sz w:val="32"/>
          <w:szCs w:val="32"/>
        </w:rPr>
        <w:t>污泥比阻测试方案与研究进展实践报告</w:t>
      </w:r>
    </w:p>
    <w:p w14:paraId="19FD22C3">
      <w:pPr>
        <w:spacing w:line="360" w:lineRule="auto"/>
        <w:rPr>
          <w:rStyle w:val="14"/>
          <w:rFonts w:ascii="Times New Roman" w:hAnsi="Times New Roman" w:eastAsia="宋体" w:cs="Times New Roman"/>
          <w:sz w:val="28"/>
          <w:szCs w:val="28"/>
        </w:rPr>
      </w:pPr>
      <w:r>
        <w:rPr>
          <w:rFonts w:ascii="Times New Roman" w:hAnsi="Times New Roman" w:cs="Times New Roman"/>
          <w:sz w:val="24"/>
          <w:highlight w:val="yellow"/>
        </w:rPr>
        <w:t>‌</w:t>
      </w:r>
      <w:r>
        <w:rPr>
          <w:rStyle w:val="14"/>
          <w:rFonts w:ascii="Times New Roman" w:hAnsi="Times New Roman" w:eastAsia="宋体" w:cs="Times New Roman"/>
          <w:sz w:val="28"/>
          <w:szCs w:val="28"/>
        </w:rPr>
        <w:t>1. 引言</w:t>
      </w:r>
      <w:r>
        <w:rPr>
          <w:rStyle w:val="14"/>
          <w:rFonts w:hint="eastAsia" w:ascii="Times New Roman" w:hAnsi="Times New Roman" w:eastAsia="宋体" w:cs="Times New Roman"/>
          <w:sz w:val="28"/>
          <w:szCs w:val="28"/>
        </w:rPr>
        <w:t>：主要介绍研究方案的背景和必要性等内容</w:t>
      </w:r>
    </w:p>
    <w:p w14:paraId="36BD3D3A">
      <w:pPr>
        <w:pStyle w:val="2"/>
        <w:widowControl/>
        <w:numPr>
          <w:ilvl w:val="0"/>
          <w:numId w:val="2"/>
        </w:numPr>
        <w:shd w:val="clear" w:color="auto" w:fill="FFFFFF"/>
        <w:spacing w:beforeAutospacing="0" w:afterAutospacing="0" w:line="360" w:lineRule="auto"/>
        <w:rPr>
          <w:rStyle w:val="14"/>
          <w:rFonts w:hint="default" w:ascii="Times New Roman" w:hAnsi="Times New Roman" w:cs="宋体"/>
          <w:b w:val="0"/>
          <w:bCs w:val="0"/>
          <w:kern w:val="2"/>
          <w:sz w:val="28"/>
          <w:szCs w:val="28"/>
        </w:rPr>
      </w:pPr>
      <w:r>
        <w:rPr>
          <w:rStyle w:val="14"/>
          <w:rFonts w:hint="default" w:ascii="Times New Roman" w:hAnsi="Times New Roman" w:cs="宋体"/>
          <w:b w:val="0"/>
          <w:bCs w:val="0"/>
          <w:kern w:val="2"/>
          <w:sz w:val="28"/>
          <w:szCs w:val="28"/>
        </w:rPr>
        <w:t>污泥比阻测试方案</w:t>
      </w:r>
      <w:r>
        <w:rPr>
          <w:rStyle w:val="14"/>
          <w:rFonts w:ascii="Times New Roman" w:hAnsi="Times New Roman" w:cs="宋体"/>
          <w:b w:val="0"/>
          <w:bCs w:val="0"/>
          <w:kern w:val="2"/>
          <w:sz w:val="28"/>
          <w:szCs w:val="28"/>
        </w:rPr>
        <w:t>：主要介绍研究的方式方法、研究方案等内容</w:t>
      </w:r>
    </w:p>
    <w:p w14:paraId="776F0C83">
      <w:pPr>
        <w:pStyle w:val="3"/>
        <w:widowControl/>
        <w:shd w:val="clear" w:color="auto" w:fill="FFFFFF"/>
        <w:spacing w:beforeAutospacing="0" w:afterAutospacing="0" w:line="360" w:lineRule="auto"/>
        <w:rPr>
          <w:rStyle w:val="14"/>
          <w:rFonts w:ascii="Times New Roman" w:hAnsi="Times New Roman" w:cs="宋体"/>
          <w:b w:val="0"/>
          <w:bCs w:val="0"/>
          <w:kern w:val="2"/>
          <w:sz w:val="28"/>
          <w:szCs w:val="28"/>
        </w:rPr>
      </w:pPr>
      <w:r>
        <w:rPr>
          <w:rStyle w:val="14"/>
          <w:rFonts w:hint="default" w:ascii="Times New Roman" w:hAnsi="Times New Roman" w:cs="宋体"/>
          <w:b w:val="0"/>
          <w:bCs w:val="0"/>
          <w:kern w:val="2"/>
          <w:sz w:val="28"/>
          <w:szCs w:val="28"/>
        </w:rPr>
        <w:t>2.1 测试原理</w:t>
      </w:r>
      <w:r>
        <w:rPr>
          <w:rStyle w:val="14"/>
          <w:rFonts w:ascii="Times New Roman" w:hAnsi="Times New Roman" w:cs="宋体"/>
          <w:b w:val="0"/>
          <w:bCs w:val="0"/>
          <w:kern w:val="2"/>
          <w:sz w:val="28"/>
          <w:szCs w:val="28"/>
        </w:rPr>
        <w:t>：介绍实验原理</w:t>
      </w:r>
    </w:p>
    <w:p w14:paraId="2A3E75C8">
      <w:pPr>
        <w:spacing w:line="360" w:lineRule="auto"/>
        <w:rPr>
          <w:rStyle w:val="14"/>
          <w:rFonts w:ascii="Times New Roman" w:hAnsi="Times New Roman" w:eastAsia="宋体" w:cs="宋体"/>
          <w:sz w:val="28"/>
          <w:szCs w:val="28"/>
        </w:rPr>
      </w:pPr>
      <w:r>
        <w:rPr>
          <w:rStyle w:val="14"/>
          <w:rFonts w:hint="eastAsia" w:ascii="Times New Roman" w:hAnsi="Times New Roman" w:eastAsia="宋体" w:cs="宋体"/>
          <w:sz w:val="28"/>
          <w:szCs w:val="28"/>
        </w:rPr>
        <w:t>2.2 仪器与试剂：介绍实验仪器与试剂</w:t>
      </w:r>
    </w:p>
    <w:p w14:paraId="789C1C9A">
      <w:pPr>
        <w:spacing w:line="360" w:lineRule="auto"/>
        <w:rPr>
          <w:rStyle w:val="14"/>
          <w:rFonts w:ascii="Times New Roman" w:hAnsi="Times New Roman" w:eastAsia="宋体" w:cs="宋体"/>
          <w:sz w:val="28"/>
          <w:szCs w:val="28"/>
        </w:rPr>
      </w:pPr>
      <w:r>
        <w:rPr>
          <w:rStyle w:val="14"/>
          <w:rFonts w:ascii="Times New Roman" w:hAnsi="Times New Roman" w:eastAsia="宋体" w:cs="宋体"/>
          <w:sz w:val="28"/>
          <w:szCs w:val="28"/>
        </w:rPr>
        <w:t>2.3 实验步骤</w:t>
      </w:r>
      <w:r>
        <w:rPr>
          <w:rStyle w:val="14"/>
          <w:rFonts w:hint="eastAsia" w:ascii="Times New Roman" w:hAnsi="Times New Roman" w:eastAsia="宋体" w:cs="宋体"/>
          <w:sz w:val="28"/>
          <w:szCs w:val="28"/>
        </w:rPr>
        <w:t>：介绍实验步骤</w:t>
      </w:r>
    </w:p>
    <w:p w14:paraId="063EE08E">
      <w:pPr>
        <w:rPr>
          <w:rFonts w:ascii="Times New Roman" w:hAnsi="Times New Roman" w:eastAsia="宋体"/>
          <w:sz w:val="28"/>
          <w:szCs w:val="28"/>
        </w:rPr>
      </w:pPr>
      <w:r>
        <w:rPr>
          <w:rFonts w:hint="eastAsia" w:ascii="Times New Roman" w:hAnsi="Times New Roman" w:eastAsia="宋体"/>
          <w:sz w:val="28"/>
          <w:szCs w:val="28"/>
        </w:rPr>
        <w:t>2.4 数据处理与分析：介绍研究所需的数据处理和分析方法</w:t>
      </w:r>
    </w:p>
    <w:p w14:paraId="53707560">
      <w:pPr>
        <w:spacing w:line="360" w:lineRule="auto"/>
        <w:rPr>
          <w:rStyle w:val="14"/>
          <w:rFonts w:ascii="Times New Roman" w:hAnsi="Times New Roman" w:eastAsia="宋体" w:cs="宋体"/>
          <w:sz w:val="28"/>
          <w:szCs w:val="28"/>
        </w:rPr>
      </w:pPr>
      <w:r>
        <w:rPr>
          <w:rStyle w:val="14"/>
          <w:rFonts w:hint="eastAsia" w:ascii="Times New Roman" w:hAnsi="Times New Roman" w:eastAsia="宋体" w:cs="宋体"/>
          <w:sz w:val="28"/>
          <w:szCs w:val="28"/>
        </w:rPr>
        <w:t>2.5 注意事项：介绍研究方案的注意事项</w:t>
      </w:r>
    </w:p>
    <w:p w14:paraId="63B850D2">
      <w:pPr>
        <w:pStyle w:val="2"/>
        <w:widowControl/>
        <w:shd w:val="clear" w:color="auto" w:fill="FFFFFF"/>
        <w:spacing w:beforeAutospacing="0" w:afterAutospacing="0" w:line="360" w:lineRule="auto"/>
        <w:rPr>
          <w:rStyle w:val="14"/>
          <w:rFonts w:hint="default" w:ascii="Times New Roman" w:hAnsi="Times New Roman" w:cs="宋体"/>
          <w:b w:val="0"/>
          <w:bCs w:val="0"/>
          <w:kern w:val="2"/>
          <w:sz w:val="28"/>
          <w:szCs w:val="28"/>
        </w:rPr>
      </w:pPr>
      <w:r>
        <w:rPr>
          <w:rStyle w:val="14"/>
          <w:rFonts w:ascii="Times New Roman" w:hAnsi="Times New Roman" w:cs="宋体"/>
          <w:b w:val="0"/>
          <w:bCs w:val="0"/>
          <w:kern w:val="2"/>
          <w:sz w:val="28"/>
          <w:szCs w:val="28"/>
        </w:rPr>
        <w:t>3</w:t>
      </w:r>
      <w:r>
        <w:rPr>
          <w:rStyle w:val="14"/>
          <w:rFonts w:hint="default" w:ascii="Times New Roman" w:hAnsi="Times New Roman" w:cs="宋体"/>
          <w:b w:val="0"/>
          <w:bCs w:val="0"/>
          <w:kern w:val="2"/>
          <w:sz w:val="28"/>
          <w:szCs w:val="28"/>
        </w:rPr>
        <w:t xml:space="preserve">. </w:t>
      </w:r>
      <w:r>
        <w:rPr>
          <w:rStyle w:val="14"/>
          <w:rFonts w:ascii="Times New Roman" w:hAnsi="Times New Roman" w:cs="宋体"/>
          <w:b w:val="0"/>
          <w:bCs w:val="0"/>
          <w:kern w:val="2"/>
          <w:sz w:val="28"/>
          <w:szCs w:val="28"/>
        </w:rPr>
        <w:t>污泥比阻实验的研究进展：查找3篇相关领域核心期刊论文梳理进5年来该研究领域的研究进展</w:t>
      </w:r>
    </w:p>
    <w:p w14:paraId="68D43BDD">
      <w:pPr>
        <w:rPr>
          <w:rFonts w:ascii="宋体" w:hAnsi="宋体"/>
          <w:sz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77BA6">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89588C">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89588C">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046D7"/>
    <w:multiLevelType w:val="singleLevel"/>
    <w:tmpl w:val="842046D7"/>
    <w:lvl w:ilvl="0" w:tentative="0">
      <w:start w:val="4"/>
      <w:numFmt w:val="chineseCounting"/>
      <w:suff w:val="nothing"/>
      <w:lvlText w:val="%1、"/>
      <w:lvlJc w:val="left"/>
      <w:rPr>
        <w:rFonts w:hint="eastAsia"/>
      </w:rPr>
    </w:lvl>
  </w:abstractNum>
  <w:abstractNum w:abstractNumId="1">
    <w:nsid w:val="9C4E4D0F"/>
    <w:multiLevelType w:val="singleLevel"/>
    <w:tmpl w:val="9C4E4D0F"/>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363B32"/>
    <w:rsid w:val="00133806"/>
    <w:rsid w:val="0015697D"/>
    <w:rsid w:val="001733AB"/>
    <w:rsid w:val="002020DA"/>
    <w:rsid w:val="002A4DF0"/>
    <w:rsid w:val="00346908"/>
    <w:rsid w:val="00420099"/>
    <w:rsid w:val="00423421"/>
    <w:rsid w:val="0047160B"/>
    <w:rsid w:val="004721B1"/>
    <w:rsid w:val="00493F3D"/>
    <w:rsid w:val="004C62CD"/>
    <w:rsid w:val="004F3B48"/>
    <w:rsid w:val="00500BD0"/>
    <w:rsid w:val="005B300C"/>
    <w:rsid w:val="005B785C"/>
    <w:rsid w:val="00606865"/>
    <w:rsid w:val="006372DE"/>
    <w:rsid w:val="006553B6"/>
    <w:rsid w:val="0066183C"/>
    <w:rsid w:val="006841B0"/>
    <w:rsid w:val="006C7B1C"/>
    <w:rsid w:val="00711A74"/>
    <w:rsid w:val="00731992"/>
    <w:rsid w:val="007712AD"/>
    <w:rsid w:val="007B7981"/>
    <w:rsid w:val="007C2247"/>
    <w:rsid w:val="007C58DF"/>
    <w:rsid w:val="007D7A6A"/>
    <w:rsid w:val="00930B19"/>
    <w:rsid w:val="00A00977"/>
    <w:rsid w:val="00A87A17"/>
    <w:rsid w:val="00BB4EEE"/>
    <w:rsid w:val="00BE3A42"/>
    <w:rsid w:val="00C41D94"/>
    <w:rsid w:val="00C90FC1"/>
    <w:rsid w:val="00CC60E2"/>
    <w:rsid w:val="00D97401"/>
    <w:rsid w:val="00EA395B"/>
    <w:rsid w:val="00EA595F"/>
    <w:rsid w:val="00ED4EFE"/>
    <w:rsid w:val="00F16F7A"/>
    <w:rsid w:val="00F81116"/>
    <w:rsid w:val="00FA7DBC"/>
    <w:rsid w:val="03AA4003"/>
    <w:rsid w:val="046E570C"/>
    <w:rsid w:val="093635D4"/>
    <w:rsid w:val="0C660B78"/>
    <w:rsid w:val="0CC21526"/>
    <w:rsid w:val="0CFD3157"/>
    <w:rsid w:val="0FCF604A"/>
    <w:rsid w:val="12080872"/>
    <w:rsid w:val="12A548BC"/>
    <w:rsid w:val="18585F5C"/>
    <w:rsid w:val="1D8B67FB"/>
    <w:rsid w:val="1DE714F7"/>
    <w:rsid w:val="22CD455F"/>
    <w:rsid w:val="25C43F3D"/>
    <w:rsid w:val="277A68D1"/>
    <w:rsid w:val="28C41452"/>
    <w:rsid w:val="2A321C42"/>
    <w:rsid w:val="2DE6137F"/>
    <w:rsid w:val="41E42350"/>
    <w:rsid w:val="42EA4BD5"/>
    <w:rsid w:val="485F6737"/>
    <w:rsid w:val="49383A30"/>
    <w:rsid w:val="4A3C5CA2"/>
    <w:rsid w:val="4BEF5B77"/>
    <w:rsid w:val="527954D1"/>
    <w:rsid w:val="55531949"/>
    <w:rsid w:val="59363B32"/>
    <w:rsid w:val="5B317729"/>
    <w:rsid w:val="61D2367E"/>
    <w:rsid w:val="656571DF"/>
    <w:rsid w:val="69C064B2"/>
    <w:rsid w:val="703838A9"/>
    <w:rsid w:val="741D5F99"/>
    <w:rsid w:val="7C055914"/>
    <w:rsid w:val="7CC64DAD"/>
    <w:rsid w:val="7D690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3">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Balloon Text"/>
    <w:basedOn w:val="1"/>
    <w:link w:val="20"/>
    <w:qFormat/>
    <w:uiPriority w:val="0"/>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iPriority w:val="0"/>
    <w:rPr>
      <w:sz w:val="24"/>
    </w:rPr>
  </w:style>
  <w:style w:type="paragraph" w:styleId="9">
    <w:name w:val="annotation subject"/>
    <w:basedOn w:val="4"/>
    <w:next w:val="4"/>
    <w:link w:val="19"/>
    <w:qFormat/>
    <w:uiPriority w:val="0"/>
    <w:rPr>
      <w:b/>
      <w:bCs/>
    </w:rPr>
  </w:style>
  <w:style w:type="character" w:styleId="12">
    <w:name w:val="Strong"/>
    <w:basedOn w:val="11"/>
    <w:qFormat/>
    <w:uiPriority w:val="0"/>
    <w:rPr>
      <w:b/>
    </w:rPr>
  </w:style>
  <w:style w:type="character" w:styleId="13">
    <w:name w:val="HTML Code"/>
    <w:basedOn w:val="11"/>
    <w:uiPriority w:val="0"/>
    <w:rPr>
      <w:rFonts w:ascii="Courier New" w:hAnsi="Courier New"/>
      <w:sz w:val="20"/>
    </w:rPr>
  </w:style>
  <w:style w:type="character" w:styleId="14">
    <w:name w:val="annotation reference"/>
    <w:basedOn w:val="11"/>
    <w:qFormat/>
    <w:uiPriority w:val="0"/>
    <w:rPr>
      <w:sz w:val="21"/>
      <w:szCs w:val="21"/>
    </w:rPr>
  </w:style>
  <w:style w:type="paragraph" w:customStyle="1" w:styleId="15">
    <w:name w:val="p0"/>
    <w:basedOn w:val="1"/>
    <w:qFormat/>
    <w:uiPriority w:val="0"/>
    <w:pPr>
      <w:widowControl/>
    </w:pPr>
    <w:rPr>
      <w:kern w:val="0"/>
      <w:szCs w:val="21"/>
    </w:rPr>
  </w:style>
  <w:style w:type="character" w:customStyle="1" w:styleId="16">
    <w:name w:val="页眉 字符"/>
    <w:basedOn w:val="11"/>
    <w:link w:val="7"/>
    <w:qFormat/>
    <w:uiPriority w:val="0"/>
    <w:rPr>
      <w:kern w:val="2"/>
      <w:sz w:val="18"/>
      <w:szCs w:val="18"/>
    </w:rPr>
  </w:style>
  <w:style w:type="character" w:customStyle="1" w:styleId="17">
    <w:name w:val="页脚 字符"/>
    <w:basedOn w:val="11"/>
    <w:link w:val="6"/>
    <w:qFormat/>
    <w:uiPriority w:val="0"/>
    <w:rPr>
      <w:kern w:val="2"/>
      <w:sz w:val="18"/>
      <w:szCs w:val="18"/>
    </w:rPr>
  </w:style>
  <w:style w:type="character" w:customStyle="1" w:styleId="18">
    <w:name w:val="批注文字 字符"/>
    <w:basedOn w:val="11"/>
    <w:link w:val="4"/>
    <w:qFormat/>
    <w:uiPriority w:val="0"/>
    <w:rPr>
      <w:kern w:val="2"/>
      <w:sz w:val="21"/>
      <w:szCs w:val="24"/>
    </w:rPr>
  </w:style>
  <w:style w:type="character" w:customStyle="1" w:styleId="19">
    <w:name w:val="批注主题 字符"/>
    <w:basedOn w:val="18"/>
    <w:link w:val="9"/>
    <w:qFormat/>
    <w:uiPriority w:val="0"/>
    <w:rPr>
      <w:b/>
      <w:bCs/>
      <w:kern w:val="2"/>
      <w:sz w:val="21"/>
      <w:szCs w:val="24"/>
    </w:rPr>
  </w:style>
  <w:style w:type="character" w:customStyle="1" w:styleId="20">
    <w:name w:val="批注框文本 字符"/>
    <w:basedOn w:val="11"/>
    <w:link w:val="5"/>
    <w:qFormat/>
    <w:uiPriority w:val="0"/>
    <w:rPr>
      <w:kern w:val="2"/>
      <w:sz w:val="18"/>
      <w:szCs w:val="18"/>
    </w:rPr>
  </w:style>
  <w:style w:type="paragraph" w:styleId="21">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1282</Words>
  <Characters>1330</Characters>
  <Lines>12</Lines>
  <Paragraphs>3</Paragraphs>
  <TotalTime>138</TotalTime>
  <ScaleCrop>false</ScaleCrop>
  <LinksUpToDate>false</LinksUpToDate>
  <CharactersWithSpaces>1364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2025-01-19T08:44:00Z</dcterms:created>
  <dc:creator>李轮</dc:creator>
  <cp:lastModifiedBy>程樊启</cp:lastModifiedBy>
  <dcterms:modified xsi:type="dcterms:W3CDTF">2025-12-23T02:22:40Z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1121728C5E99400FAA0C7AC445695767_13</vt:lpwstr>
  </property>
  <property fmtid="{D5CDD505-2E9C-101B-9397-08002B2CF9AE}" pid="4" name="KSOTemplateDocerSaveRecord">
    <vt:lpwstr>eyJoZGlkIjoiYTNjZThkMzMxOTJmNjdiN2UwZTg3NmNhZDk0M2RiMTIiLCJ1c2VySWQiOiI2ODMxMDkwNDAifQ==</vt:lpwstr>
  </property>
</Properties>
</file>