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6D6D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auto"/>
        <w:textAlignment w:val="auto"/>
        <w:rPr>
          <w:rFonts w:hint="eastAsia" w:eastAsia="黑体"/>
          <w:color w:val="auto"/>
          <w:sz w:val="30"/>
        </w:rPr>
      </w:pPr>
      <w:r>
        <w:rPr>
          <w:rFonts w:hint="eastAsia" w:eastAsia="黑体"/>
          <w:color w:val="auto"/>
          <w:sz w:val="30"/>
        </w:rPr>
        <w:t>江苏省高等教育自学考试大纲</w:t>
      </w:r>
    </w:p>
    <w:p w14:paraId="272D6AD2">
      <w:pPr>
        <w:jc w:val="center"/>
        <w:rPr>
          <w:rFonts w:hint="eastAsia" w:eastAsia="黑体"/>
          <w:color w:val="auto"/>
          <w:sz w:val="30"/>
        </w:rPr>
      </w:pPr>
    </w:p>
    <w:p w14:paraId="6C1B4DF9">
      <w:pPr>
        <w:jc w:val="center"/>
        <w:rPr>
          <w:rFonts w:hint="eastAsia" w:eastAsia="黑体"/>
          <w:color w:val="auto"/>
          <w:sz w:val="30"/>
        </w:rPr>
      </w:pPr>
    </w:p>
    <w:p w14:paraId="0127F1F9">
      <w:pPr>
        <w:jc w:val="center"/>
        <w:rPr>
          <w:rFonts w:hint="eastAsia" w:eastAsia="黑体"/>
          <w:color w:val="auto"/>
          <w:sz w:val="30"/>
        </w:rPr>
      </w:pPr>
    </w:p>
    <w:p w14:paraId="0AE1C637">
      <w:pPr>
        <w:jc w:val="center"/>
        <w:rPr>
          <w:rFonts w:hint="eastAsia" w:eastAsia="黑体"/>
          <w:color w:val="auto"/>
          <w:sz w:val="30"/>
        </w:rPr>
      </w:pPr>
    </w:p>
    <w:p w14:paraId="1B7B4BBA">
      <w:pPr>
        <w:jc w:val="center"/>
        <w:rPr>
          <w:rFonts w:hint="eastAsia" w:eastAsia="黑体"/>
          <w:color w:val="auto"/>
          <w:sz w:val="30"/>
        </w:rPr>
      </w:pPr>
    </w:p>
    <w:p w14:paraId="13775959">
      <w:pPr>
        <w:jc w:val="center"/>
        <w:rPr>
          <w:rFonts w:hint="eastAsia" w:eastAsia="黑体"/>
          <w:color w:val="auto"/>
          <w:sz w:val="30"/>
        </w:rPr>
      </w:pPr>
    </w:p>
    <w:p w14:paraId="6490E34B">
      <w:pPr>
        <w:jc w:val="center"/>
        <w:rPr>
          <w:rFonts w:hint="eastAsia" w:eastAsia="黑体"/>
          <w:b/>
          <w:bCs/>
          <w:color w:val="auto"/>
          <w:sz w:val="52"/>
        </w:rPr>
      </w:pPr>
      <w:r>
        <w:rPr>
          <w:rFonts w:hint="eastAsia" w:eastAsia="黑体"/>
          <w:b/>
          <w:bCs/>
          <w:color w:val="auto"/>
          <w:sz w:val="52"/>
          <w:lang w:val="en-US" w:eastAsia="zh-CN"/>
        </w:rPr>
        <w:t>03334</w:t>
      </w:r>
      <w:r>
        <w:rPr>
          <w:rFonts w:hint="eastAsia" w:eastAsia="黑体"/>
          <w:b/>
          <w:bCs/>
          <w:color w:val="auto"/>
          <w:sz w:val="52"/>
        </w:rPr>
        <w:t>　电子政务概论（实践）</w:t>
      </w:r>
    </w:p>
    <w:p w14:paraId="7B9F87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auto"/>
        <w:jc w:val="right"/>
        <w:textAlignment w:val="auto"/>
        <w:rPr>
          <w:rFonts w:hint="eastAsia" w:eastAsia="黑体"/>
          <w:color w:val="auto"/>
          <w:sz w:val="30"/>
        </w:rPr>
      </w:pPr>
    </w:p>
    <w:p w14:paraId="1D7673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auto"/>
        <w:jc w:val="right"/>
        <w:textAlignment w:val="auto"/>
        <w:rPr>
          <w:rFonts w:hint="eastAsia" w:eastAsia="黑体"/>
          <w:color w:val="auto"/>
          <w:sz w:val="30"/>
        </w:rPr>
      </w:pPr>
      <w:r>
        <w:rPr>
          <w:rFonts w:hint="eastAsia" w:eastAsia="黑体"/>
          <w:color w:val="auto"/>
          <w:sz w:val="30"/>
        </w:rPr>
        <w:t>河海大学编（2</w:t>
      </w:r>
      <w:r>
        <w:rPr>
          <w:rFonts w:eastAsia="黑体"/>
          <w:color w:val="auto"/>
          <w:sz w:val="30"/>
        </w:rPr>
        <w:t>02</w:t>
      </w:r>
      <w:r>
        <w:rPr>
          <w:rFonts w:hint="eastAsia" w:eastAsia="黑体"/>
          <w:color w:val="auto"/>
          <w:sz w:val="30"/>
          <w:lang w:val="en-US" w:eastAsia="zh-CN"/>
        </w:rPr>
        <w:t>5</w:t>
      </w:r>
      <w:r>
        <w:rPr>
          <w:rFonts w:hint="eastAsia" w:eastAsia="黑体"/>
          <w:color w:val="auto"/>
          <w:sz w:val="30"/>
        </w:rPr>
        <w:t>年）</w:t>
      </w:r>
    </w:p>
    <w:p w14:paraId="50D549B0">
      <w:pPr>
        <w:jc w:val="center"/>
        <w:rPr>
          <w:rFonts w:hint="eastAsia" w:eastAsia="黑体"/>
          <w:color w:val="auto"/>
          <w:sz w:val="30"/>
        </w:rPr>
      </w:pPr>
    </w:p>
    <w:p w14:paraId="549EC029">
      <w:pPr>
        <w:jc w:val="center"/>
        <w:rPr>
          <w:rFonts w:hint="eastAsia" w:eastAsia="黑体"/>
          <w:color w:val="auto"/>
          <w:sz w:val="30"/>
        </w:rPr>
      </w:pPr>
    </w:p>
    <w:p w14:paraId="438A1F72">
      <w:pPr>
        <w:jc w:val="center"/>
        <w:rPr>
          <w:rFonts w:hint="eastAsia" w:eastAsia="黑体"/>
          <w:color w:val="auto"/>
          <w:sz w:val="30"/>
        </w:rPr>
      </w:pPr>
    </w:p>
    <w:p w14:paraId="46E12071">
      <w:pPr>
        <w:jc w:val="center"/>
        <w:rPr>
          <w:rFonts w:hint="eastAsia" w:eastAsia="黑体"/>
          <w:color w:val="auto"/>
          <w:sz w:val="30"/>
        </w:rPr>
      </w:pPr>
    </w:p>
    <w:p w14:paraId="2A99F0A6">
      <w:pPr>
        <w:jc w:val="center"/>
        <w:rPr>
          <w:rFonts w:hint="eastAsia" w:eastAsia="黑体"/>
          <w:color w:val="auto"/>
          <w:sz w:val="30"/>
        </w:rPr>
      </w:pPr>
    </w:p>
    <w:p w14:paraId="473A0C2A">
      <w:pPr>
        <w:jc w:val="center"/>
        <w:rPr>
          <w:rFonts w:hint="eastAsia" w:eastAsia="黑体"/>
          <w:color w:val="auto"/>
          <w:sz w:val="30"/>
        </w:rPr>
      </w:pPr>
    </w:p>
    <w:p w14:paraId="6418EE30">
      <w:pPr>
        <w:jc w:val="center"/>
        <w:rPr>
          <w:rFonts w:hint="eastAsia" w:eastAsia="黑体"/>
          <w:color w:val="auto"/>
          <w:sz w:val="30"/>
        </w:rPr>
      </w:pPr>
    </w:p>
    <w:p w14:paraId="27E4C901">
      <w:pPr>
        <w:jc w:val="center"/>
        <w:rPr>
          <w:rFonts w:hint="eastAsia" w:eastAsia="黑体"/>
          <w:color w:val="auto"/>
          <w:sz w:val="30"/>
        </w:rPr>
      </w:pPr>
    </w:p>
    <w:p w14:paraId="0D40877C">
      <w:pPr>
        <w:spacing w:line="360" w:lineRule="auto"/>
        <w:jc w:val="center"/>
        <w:rPr>
          <w:rFonts w:hint="eastAsia" w:ascii="黑体" w:hAnsi="黑体" w:eastAsia="黑体" w:cs="黑体"/>
          <w:sz w:val="28"/>
          <w:szCs w:val="36"/>
        </w:rPr>
      </w:pPr>
    </w:p>
    <w:p w14:paraId="2A81326B">
      <w:pPr>
        <w:spacing w:line="360" w:lineRule="auto"/>
        <w:rPr>
          <w:sz w:val="24"/>
          <w:szCs w:val="32"/>
        </w:rPr>
      </w:pPr>
    </w:p>
    <w:p w14:paraId="60E2B59C">
      <w:pPr>
        <w:spacing w:line="360" w:lineRule="auto"/>
        <w:ind w:firstLine="562" w:firstLineChars="200"/>
        <w:rPr>
          <w:rFonts w:hint="eastAsia" w:ascii="宋体" w:hAnsi="宋体" w:eastAsia="宋体" w:cs="Times New Roman"/>
          <w:b/>
          <w:color w:val="auto"/>
          <w:sz w:val="28"/>
          <w:szCs w:val="28"/>
        </w:rPr>
      </w:pPr>
      <w:r>
        <w:rPr>
          <w:rFonts w:hint="eastAsia" w:ascii="宋体" w:hAnsi="宋体" w:eastAsia="宋体" w:cs="Times New Roman"/>
          <w:b/>
          <w:color w:val="auto"/>
          <w:sz w:val="28"/>
          <w:szCs w:val="28"/>
        </w:rPr>
        <w:t>一、课程性质和</w:t>
      </w:r>
      <w:r>
        <w:rPr>
          <w:rFonts w:hint="eastAsia" w:ascii="宋体" w:hAnsi="宋体" w:eastAsia="宋体" w:cs="Times New Roman"/>
          <w:b/>
          <w:color w:val="auto"/>
          <w:sz w:val="28"/>
          <w:szCs w:val="28"/>
          <w:lang w:eastAsia="zh-CN"/>
        </w:rPr>
        <w:t>考核</w:t>
      </w:r>
      <w:r>
        <w:rPr>
          <w:rFonts w:hint="eastAsia" w:ascii="宋体" w:hAnsi="宋体" w:eastAsia="宋体" w:cs="Times New Roman"/>
          <w:b/>
          <w:color w:val="auto"/>
          <w:sz w:val="28"/>
          <w:szCs w:val="28"/>
        </w:rPr>
        <w:t>目标</w:t>
      </w:r>
    </w:p>
    <w:p w14:paraId="12FB4088">
      <w:pPr>
        <w:spacing w:line="360" w:lineRule="auto"/>
        <w:ind w:firstLine="562" w:firstLineChars="20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1.课程性质</w:t>
      </w:r>
    </w:p>
    <w:p w14:paraId="0B849A63">
      <w:pPr>
        <w:spacing w:line="360" w:lineRule="auto"/>
        <w:ind w:firstLine="560" w:firstLineChars="200"/>
        <w:rPr>
          <w:rFonts w:hint="eastAsia" w:ascii="楷体" w:hAnsi="楷体" w:eastAsia="楷体" w:cs="楷体"/>
          <w:color w:val="auto"/>
          <w:sz w:val="28"/>
          <w:szCs w:val="28"/>
          <w:lang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eastAsia="zh-CN"/>
        </w:rPr>
        <w:t>《电子政务概论（实践）》</w:t>
      </w: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是</w:t>
      </w:r>
      <w:r>
        <w:rPr>
          <w:rFonts w:hint="eastAsia" w:ascii="楷体" w:hAnsi="楷体" w:eastAsia="楷体" w:cs="楷体"/>
          <w:color w:val="auto"/>
          <w:sz w:val="28"/>
          <w:szCs w:val="28"/>
          <w:lang w:eastAsia="zh-CN"/>
        </w:rPr>
        <w:t>江苏省高等教育自学考试行政管理专业（专科）的</w:t>
      </w: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实践</w:t>
      </w:r>
      <w:r>
        <w:rPr>
          <w:rFonts w:hint="eastAsia" w:ascii="楷体" w:hAnsi="楷体" w:eastAsia="楷体" w:cs="楷体"/>
          <w:color w:val="auto"/>
          <w:sz w:val="28"/>
          <w:szCs w:val="28"/>
          <w:lang w:eastAsia="zh-CN"/>
        </w:rPr>
        <w:t>课程。本课程是一门理论联系实际、系统性较强，侧重</w:t>
      </w: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培养应用能力的专业必修课程</w:t>
      </w:r>
      <w:r>
        <w:rPr>
          <w:rFonts w:hint="eastAsia" w:ascii="楷体" w:hAnsi="楷体" w:eastAsia="楷体" w:cs="楷体"/>
          <w:color w:val="auto"/>
          <w:sz w:val="28"/>
          <w:szCs w:val="28"/>
          <w:lang w:eastAsia="zh-CN"/>
        </w:rPr>
        <w:t>。</w:t>
      </w:r>
    </w:p>
    <w:p w14:paraId="4D0AEE98">
      <w:pPr>
        <w:spacing w:line="360" w:lineRule="auto"/>
        <w:ind w:firstLine="562" w:firstLineChars="20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2.</w:t>
      </w:r>
      <w:r>
        <w:rPr>
          <w:rFonts w:hint="eastAsia"/>
          <w:b/>
          <w:bCs/>
          <w:sz w:val="28"/>
          <w:szCs w:val="28"/>
          <w:lang w:eastAsia="zh-CN"/>
        </w:rPr>
        <w:t>考核</w:t>
      </w:r>
      <w:r>
        <w:rPr>
          <w:rFonts w:hint="eastAsia"/>
          <w:b/>
          <w:bCs/>
          <w:sz w:val="28"/>
          <w:szCs w:val="28"/>
        </w:rPr>
        <w:t>目标</w:t>
      </w:r>
    </w:p>
    <w:p w14:paraId="47E4686E">
      <w:pPr>
        <w:spacing w:line="360" w:lineRule="auto"/>
        <w:ind w:firstLine="560" w:firstLineChars="200"/>
        <w:rPr>
          <w:rFonts w:hint="eastAsia" w:ascii="楷体" w:hAnsi="楷体" w:eastAsia="楷体" w:cs="楷体"/>
          <w:color w:val="auto"/>
          <w:sz w:val="28"/>
          <w:szCs w:val="28"/>
          <w:lang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eastAsia="zh-CN"/>
        </w:rPr>
        <w:t>通过自学和考核，使考生比较熟练应用电子政务的基本理论、基本知识，并联系实际强化训练，从而提高电子政务的实际操作水平。</w:t>
      </w:r>
    </w:p>
    <w:p w14:paraId="0A070817">
      <w:pPr>
        <w:spacing w:line="360" w:lineRule="auto"/>
        <w:ind w:firstLine="562" w:firstLineChars="20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二、</w:t>
      </w:r>
      <w:r>
        <w:rPr>
          <w:rFonts w:hint="eastAsia"/>
          <w:b/>
          <w:bCs/>
          <w:sz w:val="28"/>
          <w:szCs w:val="28"/>
          <w:lang w:eastAsia="zh-CN"/>
        </w:rPr>
        <w:t>考核</w:t>
      </w:r>
      <w:r>
        <w:rPr>
          <w:rFonts w:hint="eastAsia"/>
          <w:b/>
          <w:bCs/>
          <w:sz w:val="28"/>
          <w:szCs w:val="28"/>
        </w:rPr>
        <w:t>内容</w:t>
      </w:r>
    </w:p>
    <w:p w14:paraId="435490F2">
      <w:pPr>
        <w:spacing w:line="360" w:lineRule="auto"/>
        <w:ind w:firstLine="560" w:firstLineChars="200"/>
        <w:rPr>
          <w:rFonts w:hint="eastAsia" w:ascii="楷体" w:hAnsi="楷体" w:eastAsia="楷体" w:cs="楷体"/>
          <w:color w:val="auto"/>
          <w:sz w:val="28"/>
          <w:szCs w:val="28"/>
          <w:lang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eastAsia="zh-CN"/>
        </w:rPr>
        <w:t>本课程的考核内容以江苏省高等教育自学考试大纲“03333  电子政务概论（高纲4286）”为依据，考核的主要内容为大纲中要求应用的内容部分，主要涉及章节如下：</w:t>
      </w:r>
    </w:p>
    <w:p w14:paraId="4CF18496">
      <w:pPr>
        <w:spacing w:line="360" w:lineRule="auto"/>
        <w:ind w:firstLine="560" w:firstLineChars="200"/>
        <w:rPr>
          <w:rFonts w:hint="eastAsia" w:ascii="楷体" w:hAnsi="楷体" w:eastAsia="楷体" w:cs="楷体"/>
          <w:color w:val="auto"/>
          <w:sz w:val="28"/>
          <w:szCs w:val="28"/>
          <w:lang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eastAsia="zh-CN"/>
        </w:rPr>
        <w:t>第二章  电子政务在世界范围的发展</w:t>
      </w:r>
    </w:p>
    <w:p w14:paraId="41CDE375">
      <w:pPr>
        <w:spacing w:line="360" w:lineRule="auto"/>
        <w:ind w:firstLine="560" w:firstLineChars="200"/>
        <w:rPr>
          <w:rFonts w:hint="eastAsia" w:ascii="楷体" w:hAnsi="楷体" w:eastAsia="楷体" w:cs="楷体"/>
          <w:color w:val="auto"/>
          <w:sz w:val="28"/>
          <w:szCs w:val="28"/>
          <w:lang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eastAsia="zh-CN"/>
        </w:rPr>
        <w:t>第三章  电子政务的基础设施</w:t>
      </w:r>
    </w:p>
    <w:p w14:paraId="2682A9AE">
      <w:pPr>
        <w:spacing w:line="360" w:lineRule="auto"/>
        <w:ind w:firstLine="560" w:firstLineChars="200"/>
        <w:rPr>
          <w:rFonts w:hint="eastAsia" w:ascii="楷体" w:hAnsi="楷体" w:eastAsia="楷体" w:cs="楷体"/>
          <w:color w:val="auto"/>
          <w:sz w:val="28"/>
          <w:szCs w:val="28"/>
          <w:lang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eastAsia="zh-CN"/>
        </w:rPr>
        <w:t>第四章  电子政务信息安全保障</w:t>
      </w:r>
    </w:p>
    <w:p w14:paraId="5411B60D">
      <w:pPr>
        <w:spacing w:line="360" w:lineRule="auto"/>
        <w:ind w:firstLine="560" w:firstLineChars="200"/>
        <w:rPr>
          <w:rFonts w:hint="eastAsia" w:ascii="楷体" w:hAnsi="楷体" w:eastAsia="楷体" w:cs="楷体"/>
          <w:color w:val="auto"/>
          <w:sz w:val="28"/>
          <w:szCs w:val="28"/>
          <w:lang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eastAsia="zh-CN"/>
        </w:rPr>
        <w:t>第五章  政府内部应用系统</w:t>
      </w:r>
    </w:p>
    <w:p w14:paraId="1C99EE02">
      <w:pPr>
        <w:spacing w:line="360" w:lineRule="auto"/>
        <w:ind w:firstLine="560" w:firstLineChars="200"/>
        <w:rPr>
          <w:rFonts w:hint="eastAsia" w:ascii="楷体" w:hAnsi="楷体" w:eastAsia="楷体" w:cs="楷体"/>
          <w:color w:val="auto"/>
          <w:sz w:val="28"/>
          <w:szCs w:val="28"/>
          <w:lang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eastAsia="zh-CN"/>
        </w:rPr>
        <w:t>第六章  政府公共服务系统</w:t>
      </w:r>
    </w:p>
    <w:p w14:paraId="39170DE5">
      <w:pPr>
        <w:spacing w:line="360" w:lineRule="auto"/>
        <w:ind w:firstLine="560" w:firstLineChars="200"/>
        <w:rPr>
          <w:rFonts w:hint="eastAsia" w:ascii="楷体" w:hAnsi="楷体" w:eastAsia="楷体" w:cs="楷体"/>
          <w:color w:val="auto"/>
          <w:sz w:val="28"/>
          <w:szCs w:val="28"/>
          <w:lang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eastAsia="zh-CN"/>
        </w:rPr>
        <w:t>第七章  电子政务的法律法规体系</w:t>
      </w:r>
    </w:p>
    <w:p w14:paraId="59C0FFBB">
      <w:pPr>
        <w:spacing w:line="360" w:lineRule="auto"/>
        <w:ind w:firstLine="560" w:firstLineChars="200"/>
        <w:rPr>
          <w:rFonts w:hint="eastAsia" w:ascii="楷体" w:hAnsi="楷体" w:eastAsia="楷体" w:cs="楷体"/>
          <w:color w:val="auto"/>
          <w:sz w:val="28"/>
          <w:szCs w:val="28"/>
          <w:lang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eastAsia="zh-CN"/>
        </w:rPr>
        <w:t>第八章  电子政务的标准体系</w:t>
      </w:r>
    </w:p>
    <w:p w14:paraId="552E304D">
      <w:pPr>
        <w:spacing w:line="360" w:lineRule="auto"/>
        <w:ind w:firstLine="560" w:firstLineChars="200"/>
        <w:rPr>
          <w:rFonts w:hint="eastAsia" w:ascii="楷体" w:hAnsi="楷体" w:eastAsia="楷体" w:cs="楷体"/>
          <w:color w:val="auto"/>
          <w:sz w:val="28"/>
          <w:szCs w:val="28"/>
          <w:lang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eastAsia="zh-CN"/>
        </w:rPr>
        <w:t>第九章  电子政务在中国的发展</w:t>
      </w:r>
    </w:p>
    <w:p w14:paraId="5BC91C70">
      <w:pPr>
        <w:spacing w:line="360" w:lineRule="auto"/>
        <w:ind w:firstLine="562" w:firstLineChars="20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三、</w:t>
      </w:r>
      <w:r>
        <w:rPr>
          <w:rFonts w:hint="eastAsia"/>
          <w:b/>
          <w:bCs/>
          <w:sz w:val="28"/>
          <w:szCs w:val="28"/>
          <w:lang w:eastAsia="zh-CN"/>
        </w:rPr>
        <w:t>考核</w:t>
      </w:r>
      <w:r>
        <w:rPr>
          <w:rFonts w:hint="eastAsia"/>
          <w:b/>
          <w:bCs/>
          <w:sz w:val="28"/>
          <w:szCs w:val="28"/>
        </w:rPr>
        <w:t>说明</w:t>
      </w:r>
    </w:p>
    <w:p w14:paraId="201BB440">
      <w:pPr>
        <w:spacing w:line="360" w:lineRule="auto"/>
        <w:ind w:firstLine="560" w:firstLineChars="200"/>
        <w:rPr>
          <w:rFonts w:hint="eastAsia" w:ascii="楷体" w:hAnsi="楷体" w:eastAsia="楷体" w:cs="楷体"/>
          <w:color w:val="auto"/>
          <w:sz w:val="28"/>
          <w:szCs w:val="28"/>
          <w:lang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eastAsia="zh-CN"/>
        </w:rPr>
        <w:t>坚持质量标准，注重能力考查，使考核合格者能达到一般普通高等学校同专业同课程的结业水平，并体现自学考试以培养应用型人才为主要目标的特点。</w:t>
      </w:r>
    </w:p>
    <w:p w14:paraId="640FB9AA">
      <w:pPr>
        <w:spacing w:line="360" w:lineRule="auto"/>
        <w:ind w:firstLine="562" w:firstLineChars="20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1.</w:t>
      </w:r>
      <w:r>
        <w:rPr>
          <w:rFonts w:hint="eastAsia"/>
          <w:b/>
          <w:bCs/>
          <w:sz w:val="28"/>
          <w:szCs w:val="28"/>
          <w:lang w:eastAsia="zh-CN"/>
        </w:rPr>
        <w:t>考核</w:t>
      </w:r>
      <w:r>
        <w:rPr>
          <w:rFonts w:hint="eastAsia"/>
          <w:b/>
          <w:bCs/>
          <w:sz w:val="28"/>
          <w:szCs w:val="28"/>
        </w:rPr>
        <w:t>依据</w:t>
      </w:r>
    </w:p>
    <w:p w14:paraId="1AB9E358">
      <w:pPr>
        <w:keepNext w:val="0"/>
        <w:keepLines w:val="0"/>
        <w:widowControl/>
        <w:suppressLineNumbers w:val="0"/>
        <w:spacing w:line="360" w:lineRule="auto"/>
        <w:ind w:firstLine="560" w:firstLineChars="200"/>
        <w:jc w:val="left"/>
        <w:rPr>
          <w:rFonts w:hint="eastAsia"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color w:val="000000"/>
          <w:kern w:val="0"/>
          <w:sz w:val="28"/>
          <w:szCs w:val="28"/>
          <w:lang w:val="en-US" w:eastAsia="zh-CN" w:bidi="ar"/>
        </w:rPr>
        <w:t>本课程使用教程为：《电子政务概论》（第三版），徐双敏主编，科学出版社，2016年。</w:t>
      </w:r>
    </w:p>
    <w:p w14:paraId="5FF94999">
      <w:pPr>
        <w:spacing w:line="360" w:lineRule="auto"/>
        <w:ind w:firstLine="562" w:firstLineChars="20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2.本课程考核的知识与能力的关系</w:t>
      </w:r>
    </w:p>
    <w:p w14:paraId="50CA7FEF">
      <w:pPr>
        <w:spacing w:line="360" w:lineRule="auto"/>
        <w:ind w:firstLine="560" w:firstLineChars="200"/>
        <w:rPr>
          <w:rFonts w:hint="eastAsia"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《电子政务概论（实践）》课程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主要目的是</w:t>
      </w:r>
      <w:r>
        <w:rPr>
          <w:rFonts w:hint="eastAsia" w:ascii="楷体" w:hAnsi="楷体" w:eastAsia="楷体" w:cs="楷体"/>
          <w:sz w:val="28"/>
          <w:szCs w:val="28"/>
        </w:rPr>
        <w:t>考核</w:t>
      </w:r>
      <w:r>
        <w:rPr>
          <w:rFonts w:hint="eastAsia" w:ascii="楷体" w:hAnsi="楷体" w:eastAsia="楷体" w:cs="楷体"/>
          <w:sz w:val="28"/>
          <w:szCs w:val="28"/>
          <w:lang w:eastAsia="zh-CN"/>
        </w:rPr>
        <w:t>考生</w:t>
      </w:r>
      <w:r>
        <w:rPr>
          <w:rFonts w:hint="eastAsia" w:ascii="楷体" w:hAnsi="楷体" w:eastAsia="楷体" w:cs="楷体"/>
          <w:sz w:val="28"/>
          <w:szCs w:val="28"/>
        </w:rPr>
        <w:t>的基本理论、基本知识和基本技能，以及联系实际、运用所学的理论分析问题和解决问题的能力，确保</w:t>
      </w:r>
      <w:r>
        <w:rPr>
          <w:rFonts w:hint="eastAsia" w:ascii="楷体" w:hAnsi="楷体" w:eastAsia="楷体" w:cs="楷体"/>
          <w:sz w:val="28"/>
          <w:szCs w:val="28"/>
          <w:lang w:eastAsia="zh-CN"/>
        </w:rPr>
        <w:t>考核</w:t>
      </w:r>
      <w:r>
        <w:rPr>
          <w:rFonts w:hint="eastAsia" w:ascii="楷体" w:hAnsi="楷体" w:eastAsia="楷体" w:cs="楷体"/>
          <w:sz w:val="28"/>
          <w:szCs w:val="28"/>
        </w:rPr>
        <w:t>合格者达到全日制普通高等学校本专业相同课程的结业水平。</w:t>
      </w:r>
    </w:p>
    <w:p w14:paraId="5A1F26A4">
      <w:pPr>
        <w:numPr>
          <w:ilvl w:val="0"/>
          <w:numId w:val="1"/>
        </w:numPr>
        <w:spacing w:line="360" w:lineRule="auto"/>
        <w:ind w:firstLine="562" w:firstLineChars="200"/>
        <w:rPr>
          <w:rFonts w:hint="eastAsia" w:asciiTheme="minorHAnsi" w:hAnsiTheme="minorHAnsi" w:eastAsiaTheme="minorEastAsia" w:cstheme="minorBidi"/>
          <w:b/>
          <w:bCs/>
          <w:sz w:val="28"/>
          <w:szCs w:val="28"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bCs/>
          <w:sz w:val="28"/>
          <w:szCs w:val="28"/>
          <w:lang w:val="en-US" w:eastAsia="zh-CN"/>
        </w:rPr>
        <w:t>考核对象</w:t>
      </w:r>
    </w:p>
    <w:p w14:paraId="5E19C76B">
      <w:pPr>
        <w:spacing w:line="360" w:lineRule="auto"/>
        <w:ind w:firstLine="560" w:firstLineChars="200"/>
        <w:rPr>
          <w:rFonts w:hint="default"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b w:val="0"/>
          <w:bCs w:val="0"/>
          <w:sz w:val="28"/>
          <w:szCs w:val="28"/>
          <w:lang w:val="en-US" w:eastAsia="zh-CN"/>
        </w:rPr>
        <w:t>该实践课程的开展，须建立在已完成《电子政务概论》理论课程（课程代码03333）的基础之上。</w:t>
      </w:r>
    </w:p>
    <w:p w14:paraId="3CFA9F99">
      <w:pPr>
        <w:numPr>
          <w:ilvl w:val="0"/>
          <w:numId w:val="2"/>
        </w:numPr>
        <w:spacing w:line="360" w:lineRule="auto"/>
        <w:ind w:firstLine="562" w:firstLineChars="200"/>
        <w:rPr>
          <w:rFonts w:hint="eastAsia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/>
          <w:b/>
          <w:bCs/>
          <w:color w:val="auto"/>
          <w:sz w:val="28"/>
          <w:szCs w:val="28"/>
          <w:lang w:val="en-US" w:eastAsia="zh-CN"/>
        </w:rPr>
        <w:t>考核方法</w:t>
      </w:r>
    </w:p>
    <w:p w14:paraId="5FD876FC">
      <w:pPr>
        <w:spacing w:line="360" w:lineRule="auto"/>
        <w:ind w:firstLine="562" w:firstLineChars="200"/>
        <w:rPr>
          <w:rFonts w:hint="eastAsia" w:ascii="楷体" w:hAnsi="楷体" w:eastAsia="楷体" w:cs="楷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楷体" w:hAnsi="楷体" w:eastAsia="楷体" w:cs="楷体"/>
          <w:b/>
          <w:bCs/>
          <w:color w:val="auto"/>
          <w:sz w:val="28"/>
          <w:szCs w:val="28"/>
          <w:lang w:val="en-US" w:eastAsia="zh-CN"/>
        </w:rPr>
        <w:t>该实践课程的考核形式为撰写</w:t>
      </w:r>
      <w:r>
        <w:rPr>
          <w:rFonts w:hint="eastAsia" w:ascii="楷体" w:hAnsi="楷体" w:eastAsia="楷体" w:cs="楷体"/>
          <w:b/>
          <w:bCs/>
          <w:color w:val="auto"/>
          <w:sz w:val="28"/>
          <w:szCs w:val="28"/>
        </w:rPr>
        <w:t>实践</w:t>
      </w:r>
      <w:r>
        <w:rPr>
          <w:rFonts w:hint="eastAsia" w:ascii="楷体" w:hAnsi="楷体" w:eastAsia="楷体" w:cs="楷体"/>
          <w:b/>
          <w:bCs/>
          <w:color w:val="auto"/>
          <w:sz w:val="28"/>
          <w:szCs w:val="28"/>
          <w:lang w:val="en-US" w:eastAsia="zh-CN"/>
        </w:rPr>
        <w:t>调研</w:t>
      </w:r>
      <w:r>
        <w:rPr>
          <w:rFonts w:hint="eastAsia" w:ascii="楷体" w:hAnsi="楷体" w:eastAsia="楷体" w:cs="楷体"/>
          <w:b/>
          <w:bCs/>
          <w:color w:val="auto"/>
          <w:sz w:val="28"/>
          <w:szCs w:val="28"/>
        </w:rPr>
        <w:t>报告</w:t>
      </w:r>
      <w:r>
        <w:rPr>
          <w:rFonts w:hint="eastAsia" w:ascii="楷体" w:hAnsi="楷体" w:eastAsia="楷体" w:cs="楷体"/>
          <w:b/>
          <w:bCs/>
          <w:color w:val="auto"/>
          <w:sz w:val="28"/>
          <w:szCs w:val="28"/>
          <w:lang w:eastAsia="zh-CN"/>
        </w:rPr>
        <w:t>。</w:t>
      </w:r>
    </w:p>
    <w:p w14:paraId="51D8DE44">
      <w:pPr>
        <w:spacing w:line="360" w:lineRule="auto"/>
        <w:ind w:firstLine="560" w:firstLineChars="200"/>
        <w:rPr>
          <w:rFonts w:hint="eastAsia"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1.实践调研报告字数不少于3000字，正文宋体4号、1.5倍行距；采用百分制，60分为及格线。</w:t>
      </w:r>
    </w:p>
    <w:p w14:paraId="09DB8E6E">
      <w:pPr>
        <w:spacing w:line="360" w:lineRule="auto"/>
        <w:ind w:firstLine="560" w:firstLineChars="200"/>
        <w:rPr>
          <w:rFonts w:hint="eastAsia"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2.实践主题</w:t>
      </w:r>
    </w:p>
    <w:p w14:paraId="4912A0BD">
      <w:pPr>
        <w:spacing w:line="360" w:lineRule="auto"/>
        <w:ind w:firstLine="560" w:firstLineChars="200"/>
        <w:rPr>
          <w:rFonts w:hint="default" w:ascii="楷体" w:hAnsi="楷体" w:eastAsia="楷体" w:cs="楷体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eastAsia="zh-CN"/>
        </w:rPr>
        <w:t>（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1</w:t>
      </w:r>
      <w:r>
        <w:rPr>
          <w:rFonts w:hint="eastAsia" w:ascii="楷体" w:hAnsi="楷体" w:eastAsia="楷体" w:cs="楷体"/>
          <w:sz w:val="28"/>
          <w:szCs w:val="28"/>
          <w:lang w:eastAsia="zh-CN"/>
        </w:rPr>
        <w:t>）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电子政务基础设施建设</w:t>
      </w:r>
    </w:p>
    <w:p w14:paraId="4D78A71A">
      <w:pPr>
        <w:spacing w:line="360" w:lineRule="auto"/>
        <w:ind w:firstLine="560" w:firstLineChars="200"/>
        <w:rPr>
          <w:rFonts w:hint="default" w:ascii="楷体" w:hAnsi="楷体" w:eastAsia="楷体" w:cs="楷体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eastAsia="zh-CN"/>
        </w:rPr>
        <w:t>（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2</w:t>
      </w:r>
      <w:r>
        <w:rPr>
          <w:rFonts w:hint="eastAsia" w:ascii="楷体" w:hAnsi="楷体" w:eastAsia="楷体" w:cs="楷体"/>
          <w:sz w:val="28"/>
          <w:szCs w:val="28"/>
          <w:lang w:eastAsia="zh-CN"/>
        </w:rPr>
        <w:t>）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电子政务服务平台建设</w:t>
      </w:r>
    </w:p>
    <w:p w14:paraId="19DCAB2A">
      <w:pPr>
        <w:spacing w:line="360" w:lineRule="auto"/>
        <w:ind w:firstLine="560" w:firstLineChars="200"/>
        <w:rPr>
          <w:rFonts w:hint="default" w:ascii="楷体" w:hAnsi="楷体" w:eastAsia="楷体" w:cs="楷体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eastAsia="zh-CN"/>
        </w:rPr>
        <w:t>（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3</w:t>
      </w:r>
      <w:r>
        <w:rPr>
          <w:rFonts w:hint="eastAsia" w:ascii="楷体" w:hAnsi="楷体" w:eastAsia="楷体" w:cs="楷体"/>
          <w:sz w:val="28"/>
          <w:szCs w:val="28"/>
          <w:lang w:eastAsia="zh-CN"/>
        </w:rPr>
        <w:t>）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电子政务信息安全保障</w:t>
      </w:r>
    </w:p>
    <w:p w14:paraId="12DD9954">
      <w:pPr>
        <w:spacing w:line="360" w:lineRule="auto"/>
        <w:ind w:firstLine="560" w:firstLineChars="200"/>
        <w:rPr>
          <w:rFonts w:hint="default" w:ascii="楷体" w:hAnsi="楷体" w:eastAsia="楷体" w:cs="楷体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eastAsia="zh-CN"/>
        </w:rPr>
        <w:t>（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4</w:t>
      </w:r>
      <w:r>
        <w:rPr>
          <w:rFonts w:hint="eastAsia" w:ascii="楷体" w:hAnsi="楷体" w:eastAsia="楷体" w:cs="楷体"/>
          <w:sz w:val="28"/>
          <w:szCs w:val="28"/>
          <w:lang w:eastAsia="zh-CN"/>
        </w:rPr>
        <w:t>）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电子政务规章制度建设</w:t>
      </w:r>
    </w:p>
    <w:p w14:paraId="4EC46A9F">
      <w:pPr>
        <w:spacing w:line="360" w:lineRule="auto"/>
        <w:ind w:firstLine="560" w:firstLineChars="200"/>
        <w:rPr>
          <w:rFonts w:hint="default" w:ascii="楷体" w:hAnsi="楷体" w:eastAsia="楷体" w:cs="楷体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eastAsia="zh-CN"/>
        </w:rPr>
        <w:t>（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5</w:t>
      </w:r>
      <w:r>
        <w:rPr>
          <w:rFonts w:hint="eastAsia" w:ascii="楷体" w:hAnsi="楷体" w:eastAsia="楷体" w:cs="楷体"/>
          <w:sz w:val="28"/>
          <w:szCs w:val="28"/>
          <w:lang w:eastAsia="zh-CN"/>
        </w:rPr>
        <w:t>）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电子政务数字资源建设</w:t>
      </w:r>
    </w:p>
    <w:p w14:paraId="7B33A469">
      <w:pPr>
        <w:spacing w:line="360" w:lineRule="auto"/>
        <w:ind w:firstLine="560" w:firstLineChars="200"/>
        <w:rPr>
          <w:rFonts w:hint="default" w:ascii="楷体" w:hAnsi="楷体" w:eastAsia="楷体" w:cs="楷体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eastAsia="zh-CN"/>
        </w:rPr>
        <w:t>（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6</w:t>
      </w:r>
      <w:r>
        <w:rPr>
          <w:rFonts w:hint="eastAsia" w:ascii="楷体" w:hAnsi="楷体" w:eastAsia="楷体" w:cs="楷体"/>
          <w:sz w:val="28"/>
          <w:szCs w:val="28"/>
          <w:lang w:eastAsia="zh-CN"/>
        </w:rPr>
        <w:t>）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电子政务人才培养</w:t>
      </w:r>
    </w:p>
    <w:p w14:paraId="6AC28E41">
      <w:pPr>
        <w:spacing w:line="360" w:lineRule="auto"/>
        <w:ind w:firstLine="560" w:firstLineChars="200"/>
        <w:rPr>
          <w:rFonts w:hint="eastAsia" w:ascii="楷体" w:hAnsi="楷体" w:eastAsia="楷体" w:cs="楷体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eastAsia="zh-CN"/>
        </w:rPr>
        <w:t>（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7</w:t>
      </w:r>
      <w:r>
        <w:rPr>
          <w:rFonts w:hint="eastAsia" w:ascii="楷体" w:hAnsi="楷体" w:eastAsia="楷体" w:cs="楷体"/>
          <w:sz w:val="28"/>
          <w:szCs w:val="28"/>
          <w:lang w:eastAsia="zh-CN"/>
        </w:rPr>
        <w:t>）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电子政务创新社会治理</w:t>
      </w:r>
    </w:p>
    <w:p w14:paraId="588EB69D">
      <w:pPr>
        <w:spacing w:line="360" w:lineRule="auto"/>
        <w:ind w:firstLine="562" w:firstLineChars="200"/>
        <w:rPr>
          <w:rFonts w:hint="default" w:ascii="楷体" w:hAnsi="楷体" w:eastAsia="楷体" w:cs="楷体"/>
          <w:b/>
          <w:bCs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28"/>
          <w:szCs w:val="28"/>
          <w:lang w:val="en-US" w:eastAsia="zh-CN"/>
        </w:rPr>
        <w:t>考生必须从以上主题选取一个作为自己实践报告的选题。</w:t>
      </w:r>
    </w:p>
    <w:p w14:paraId="03816140">
      <w:pPr>
        <w:spacing w:line="360" w:lineRule="auto"/>
        <w:ind w:firstLine="560" w:firstLineChars="200"/>
        <w:rPr>
          <w:rFonts w:hint="eastAsia"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3.实践形式：根据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所选</w:t>
      </w:r>
      <w:r>
        <w:rPr>
          <w:rFonts w:hint="eastAsia" w:ascii="楷体" w:hAnsi="楷体" w:eastAsia="楷体" w:cs="楷体"/>
          <w:sz w:val="28"/>
          <w:szCs w:val="28"/>
        </w:rPr>
        <w:t>主题，开展调研或访谈。</w:t>
      </w:r>
    </w:p>
    <w:p w14:paraId="6C2D931E">
      <w:pPr>
        <w:spacing w:line="360" w:lineRule="auto"/>
        <w:ind w:firstLine="560" w:firstLineChars="200"/>
        <w:rPr>
          <w:rFonts w:hint="eastAsia"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4.其它：实践调研报告使用的数据可用表格、图表等直观形式表示。实践报告使用的数据是引用的，必须在注释中写明出处以及文章和作用。</w:t>
      </w:r>
    </w:p>
    <w:p w14:paraId="4D78C0C7">
      <w:pPr>
        <w:spacing w:line="360" w:lineRule="auto"/>
        <w:ind w:firstLine="560" w:firstLineChars="200"/>
        <w:rPr>
          <w:rFonts w:hint="eastAsia"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5.实践报告标题按阶梯分类标题进行分类：如一、(一)、1、（1）……</w:t>
      </w:r>
    </w:p>
    <w:p w14:paraId="659951EE">
      <w:pPr>
        <w:spacing w:line="360" w:lineRule="auto"/>
        <w:ind w:firstLine="562" w:firstLineChars="20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五、实践报告要求</w:t>
      </w:r>
    </w:p>
    <w:p w14:paraId="77366971">
      <w:pPr>
        <w:spacing w:line="360" w:lineRule="auto"/>
        <w:ind w:firstLine="560" w:firstLineChars="200"/>
        <w:rPr>
          <w:rFonts w:hint="eastAsia"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1.主题鲜明、观点明确。切入点准，角度合适。</w:t>
      </w:r>
    </w:p>
    <w:p w14:paraId="79AF3589">
      <w:pPr>
        <w:spacing w:line="360" w:lineRule="auto"/>
        <w:ind w:firstLine="560" w:firstLineChars="200"/>
        <w:rPr>
          <w:rFonts w:hint="eastAsia"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2.逻辑严密、说理清晰。说理要透、案例要实。</w:t>
      </w:r>
    </w:p>
    <w:p w14:paraId="5DF909DC">
      <w:pPr>
        <w:spacing w:line="360" w:lineRule="auto"/>
        <w:ind w:firstLine="560" w:firstLineChars="200"/>
        <w:rPr>
          <w:rFonts w:hint="eastAsia"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3.文字准确、格式规范。</w:t>
      </w:r>
    </w:p>
    <w:p w14:paraId="38288EBA">
      <w:pPr>
        <w:spacing w:line="360" w:lineRule="auto"/>
        <w:ind w:firstLine="562" w:firstLineChars="20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六</w:t>
      </w:r>
      <w:r>
        <w:rPr>
          <w:rFonts w:hint="eastAsia"/>
          <w:b/>
          <w:bCs/>
          <w:sz w:val="28"/>
          <w:szCs w:val="28"/>
        </w:rPr>
        <w:t>、成绩查询</w:t>
      </w:r>
    </w:p>
    <w:p w14:paraId="1D9C1AF1">
      <w:pPr>
        <w:spacing w:line="360" w:lineRule="auto"/>
        <w:ind w:firstLine="560" w:firstLineChars="200"/>
        <w:rPr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考核成绩在江</w:t>
      </w:r>
      <w:bookmarkStart w:id="0" w:name="_GoBack"/>
      <w:bookmarkEnd w:id="0"/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苏教育考试公众信息服务平台（https://sdata.jseea.cn/）查询，成绩发布时间不晚于</w:t>
      </w:r>
      <w:r>
        <w:rPr>
          <w:rFonts w:hint="eastAsia" w:ascii="楷体" w:hAnsi="楷体" w:eastAsia="楷体" w:cs="楷体"/>
          <w:sz w:val="28"/>
          <w:szCs w:val="28"/>
        </w:rPr>
        <w:t>202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6</w:t>
      </w:r>
      <w:r>
        <w:rPr>
          <w:rFonts w:hint="eastAsia" w:ascii="楷体" w:hAnsi="楷体" w:eastAsia="楷体" w:cs="楷体"/>
          <w:sz w:val="28"/>
          <w:szCs w:val="28"/>
        </w:rPr>
        <w:t>年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5</w:t>
      </w:r>
      <w:r>
        <w:rPr>
          <w:rFonts w:hint="eastAsia" w:ascii="楷体" w:hAnsi="楷体" w:eastAsia="楷体" w:cs="楷体"/>
          <w:sz w:val="28"/>
          <w:szCs w:val="28"/>
        </w:rPr>
        <w:t>月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15</w:t>
      </w:r>
      <w:r>
        <w:rPr>
          <w:rFonts w:hint="eastAsia" w:ascii="楷体" w:hAnsi="楷体" w:eastAsia="楷体" w:cs="楷体"/>
          <w:sz w:val="28"/>
          <w:szCs w:val="28"/>
        </w:rPr>
        <w:t>日。</w:t>
      </w:r>
    </w:p>
    <w:p w14:paraId="6ACCB047">
      <w:pPr>
        <w:rPr>
          <w:sz w:val="24"/>
          <w:szCs w:val="32"/>
        </w:rPr>
      </w:pPr>
      <w:r>
        <w:rPr>
          <w:sz w:val="24"/>
          <w:szCs w:val="32"/>
        </w:rPr>
        <w:br w:type="page"/>
      </w:r>
    </w:p>
    <w:p w14:paraId="26BF849F">
      <w:pPr>
        <w:rPr>
          <w:rFonts w:ascii="黑体" w:hAnsi="黑体" w:eastAsia="黑体" w:cs="黑体"/>
          <w:sz w:val="32"/>
          <w:szCs w:val="40"/>
        </w:rPr>
      </w:pPr>
      <w:r>
        <w:rPr>
          <w:rFonts w:hint="eastAsia" w:ascii="黑体" w:hAnsi="黑体" w:eastAsia="黑体" w:cs="黑体"/>
          <w:sz w:val="32"/>
          <w:szCs w:val="40"/>
        </w:rPr>
        <w:t>范例：</w:t>
      </w:r>
    </w:p>
    <w:p w14:paraId="0B457F63"/>
    <w:p w14:paraId="493B9763">
      <w:pPr>
        <w:rPr>
          <w:rFonts w:eastAsia="隶书"/>
        </w:rPr>
      </w:pPr>
    </w:p>
    <w:p w14:paraId="6DADD3E9">
      <w:pPr>
        <w:jc w:val="center"/>
        <w:rPr>
          <w:rFonts w:eastAsia="华文新魏"/>
          <w:sz w:val="60"/>
          <w:szCs w:val="32"/>
        </w:rPr>
      </w:pPr>
      <w:r>
        <w:rPr>
          <w:rFonts w:hint="eastAsia" w:eastAsia="华文新魏"/>
          <w:sz w:val="60"/>
          <w:szCs w:val="32"/>
        </w:rPr>
        <w:t>河海大学</w:t>
      </w:r>
    </w:p>
    <w:p w14:paraId="18AC58DD">
      <w:pPr>
        <w:jc w:val="center"/>
        <w:rPr>
          <w:rFonts w:ascii="宋体" w:hAnsi="宋体"/>
          <w:b/>
          <w:bCs/>
          <w:sz w:val="36"/>
          <w:szCs w:val="36"/>
        </w:rPr>
      </w:pPr>
      <w:r>
        <w:rPr>
          <w:rFonts w:hint="eastAsia" w:eastAsia="华文新魏"/>
          <w:b/>
          <w:bCs/>
        </w:rPr>
        <w:t xml:space="preserve"> </w:t>
      </w:r>
    </w:p>
    <w:p w14:paraId="43190A60">
      <w:pPr>
        <w:jc w:val="center"/>
        <w:rPr>
          <w:rFonts w:eastAsia="华文新魏"/>
          <w:sz w:val="84"/>
          <w:szCs w:val="84"/>
        </w:rPr>
      </w:pPr>
      <w:r>
        <w:rPr>
          <w:rFonts w:hint="eastAsia" w:eastAsia="华文新魏"/>
          <w:sz w:val="84"/>
          <w:szCs w:val="84"/>
        </w:rPr>
        <w:t>课程实践</w:t>
      </w:r>
      <w:r>
        <w:rPr>
          <w:rFonts w:hint="eastAsia" w:eastAsia="华文新魏"/>
          <w:sz w:val="84"/>
          <w:szCs w:val="84"/>
          <w:lang w:val="en-US" w:eastAsia="zh-CN"/>
        </w:rPr>
        <w:t>调研</w:t>
      </w:r>
      <w:r>
        <w:rPr>
          <w:rFonts w:hint="eastAsia" w:eastAsia="华文新魏"/>
          <w:sz w:val="84"/>
          <w:szCs w:val="84"/>
        </w:rPr>
        <w:t>报告</w:t>
      </w:r>
    </w:p>
    <w:p w14:paraId="4C2534DB">
      <w:pPr>
        <w:jc w:val="center"/>
        <w:rPr>
          <w:rFonts w:eastAsia="华文新魏"/>
          <w:b/>
          <w:bCs/>
          <w:sz w:val="48"/>
        </w:rPr>
      </w:pPr>
    </w:p>
    <w:p w14:paraId="277D2DA4">
      <w:pPr>
        <w:jc w:val="center"/>
        <w:rPr>
          <w:rFonts w:eastAsia="华文新魏"/>
          <w:b/>
          <w:bCs/>
          <w:sz w:val="48"/>
        </w:rPr>
      </w:pPr>
    </w:p>
    <w:p w14:paraId="06DBD41F">
      <w:pPr>
        <w:spacing w:line="360" w:lineRule="auto"/>
        <w:ind w:left="2166" w:leftChars="460" w:hanging="1200" w:hangingChars="250"/>
        <w:jc w:val="center"/>
        <w:rPr>
          <w:rFonts w:hint="eastAsia" w:ascii="楷体_GB2312" w:eastAsia="楷体_GB2312"/>
          <w:b/>
          <w:color w:val="0000FF"/>
          <w:sz w:val="36"/>
          <w:szCs w:val="36"/>
        </w:rPr>
      </w:pPr>
      <w:r>
        <w:rPr>
          <w:rFonts w:hint="eastAsia" w:eastAsia="华文新魏"/>
          <w:sz w:val="48"/>
        </w:rPr>
        <w:t>题目</w:t>
      </w:r>
      <w:r>
        <w:rPr>
          <w:rFonts w:hint="eastAsia" w:eastAsia="华文新魏"/>
          <w:b/>
          <w:bCs/>
          <w:sz w:val="36"/>
        </w:rPr>
        <w:t>：</w:t>
      </w:r>
      <w:r>
        <w:rPr>
          <w:rFonts w:hint="eastAsia" w:ascii="楷体_GB2312" w:eastAsia="楷体_GB2312"/>
          <w:b/>
          <w:color w:val="0000FF"/>
          <w:sz w:val="36"/>
          <w:szCs w:val="36"/>
        </w:rPr>
        <w:t>关于某某县电子政务</w:t>
      </w:r>
      <w:r>
        <w:rPr>
          <w:rFonts w:hint="eastAsia" w:ascii="楷体_GB2312" w:eastAsia="楷体_GB2312"/>
          <w:b/>
          <w:color w:val="0000FF"/>
          <w:sz w:val="36"/>
          <w:szCs w:val="36"/>
          <w:lang w:val="en-US" w:eastAsia="zh-CN"/>
        </w:rPr>
        <w:t>服务平台</w:t>
      </w:r>
      <w:r>
        <w:rPr>
          <w:rFonts w:hint="eastAsia" w:ascii="楷体_GB2312" w:eastAsia="楷体_GB2312"/>
          <w:b/>
          <w:color w:val="0000FF"/>
          <w:sz w:val="36"/>
          <w:szCs w:val="36"/>
        </w:rPr>
        <w:t>建设的</w:t>
      </w:r>
    </w:p>
    <w:p w14:paraId="769219E6">
      <w:pPr>
        <w:spacing w:line="360" w:lineRule="auto"/>
        <w:ind w:left="1870" w:leftChars="460" w:hanging="904" w:hangingChars="250"/>
        <w:jc w:val="center"/>
        <w:rPr>
          <w:rFonts w:ascii="楷体_GB2312" w:eastAsia="楷体_GB2312"/>
          <w:b/>
          <w:color w:val="0000FF"/>
          <w:sz w:val="36"/>
          <w:szCs w:val="36"/>
        </w:rPr>
      </w:pPr>
      <w:r>
        <w:rPr>
          <w:rFonts w:hint="eastAsia" w:ascii="楷体_GB2312" w:eastAsia="楷体_GB2312"/>
          <w:b/>
          <w:color w:val="0000FF"/>
          <w:sz w:val="36"/>
          <w:szCs w:val="36"/>
        </w:rPr>
        <w:t>调研报告</w:t>
      </w:r>
    </w:p>
    <w:p w14:paraId="646A27AF">
      <w:pPr>
        <w:spacing w:line="360" w:lineRule="auto"/>
        <w:ind w:left="1766" w:leftChars="460" w:hanging="800" w:hangingChars="250"/>
        <w:rPr>
          <w:rFonts w:eastAsia="黑体"/>
          <w:sz w:val="32"/>
          <w:szCs w:val="32"/>
        </w:rPr>
      </w:pPr>
    </w:p>
    <w:p w14:paraId="5367373D">
      <w:pPr>
        <w:ind w:firstLine="2162" w:firstLineChars="600"/>
        <w:rPr>
          <w:rFonts w:eastAsia="华文新魏"/>
          <w:b/>
          <w:bCs/>
          <w:sz w:val="36"/>
        </w:rPr>
      </w:pPr>
    </w:p>
    <w:p w14:paraId="055AC53B">
      <w:pPr>
        <w:ind w:firstLine="2162" w:firstLineChars="600"/>
        <w:rPr>
          <w:rFonts w:eastAsia="华文新魏"/>
          <w:b/>
          <w:bCs/>
          <w:sz w:val="36"/>
        </w:rPr>
      </w:pPr>
    </w:p>
    <w:tbl>
      <w:tblPr>
        <w:tblStyle w:val="7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0"/>
        <w:gridCol w:w="3625"/>
      </w:tblGrid>
      <w:tr w14:paraId="0AEE85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160" w:type="dxa"/>
          </w:tcPr>
          <w:p w14:paraId="35E52D7B">
            <w:pPr>
              <w:rPr>
                <w:rFonts w:ascii="黑体" w:hAnsi="黑体" w:eastAsia="黑体" w:cs="黑体"/>
                <w:sz w:val="36"/>
                <w:szCs w:val="36"/>
              </w:rPr>
            </w:pPr>
            <w:r>
              <w:rPr>
                <w:rFonts w:hint="eastAsia" w:ascii="黑体" w:hAnsi="黑体" w:eastAsia="黑体" w:cs="黑体"/>
                <w:sz w:val="36"/>
                <w:szCs w:val="36"/>
              </w:rPr>
              <w:t>姓    名：</w:t>
            </w:r>
          </w:p>
        </w:tc>
        <w:tc>
          <w:tcPr>
            <w:tcW w:w="3625" w:type="dxa"/>
            <w:tcBorders>
              <w:bottom w:val="single" w:color="auto" w:sz="4" w:space="0"/>
            </w:tcBorders>
          </w:tcPr>
          <w:p w14:paraId="1241DD9C">
            <w:pPr>
              <w:rPr>
                <w:rFonts w:ascii="华文新魏" w:eastAsia="华文新魏"/>
                <w:b/>
                <w:bCs/>
                <w:sz w:val="36"/>
                <w:szCs w:val="36"/>
              </w:rPr>
            </w:pPr>
          </w:p>
        </w:tc>
      </w:tr>
      <w:tr w14:paraId="2A93D4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160" w:type="dxa"/>
          </w:tcPr>
          <w:p w14:paraId="200B31B0">
            <w:pPr>
              <w:rPr>
                <w:rFonts w:ascii="黑体" w:hAnsi="黑体" w:eastAsia="黑体" w:cs="黑体"/>
                <w:sz w:val="36"/>
                <w:szCs w:val="36"/>
              </w:rPr>
            </w:pPr>
            <w:r>
              <w:rPr>
                <w:rFonts w:hint="eastAsia" w:ascii="黑体" w:hAnsi="黑体" w:eastAsia="黑体" w:cs="黑体"/>
                <w:sz w:val="36"/>
                <w:szCs w:val="36"/>
              </w:rPr>
              <w:t>准考证号：</w:t>
            </w:r>
          </w:p>
        </w:tc>
        <w:tc>
          <w:tcPr>
            <w:tcW w:w="3625" w:type="dxa"/>
            <w:tcBorders>
              <w:top w:val="single" w:color="auto" w:sz="4" w:space="0"/>
              <w:bottom w:val="single" w:color="auto" w:sz="4" w:space="0"/>
            </w:tcBorders>
          </w:tcPr>
          <w:p w14:paraId="2F1A50B5">
            <w:pPr>
              <w:rPr>
                <w:rFonts w:ascii="华文新魏" w:eastAsia="华文新魏"/>
                <w:b/>
                <w:bCs/>
                <w:sz w:val="36"/>
                <w:szCs w:val="36"/>
              </w:rPr>
            </w:pPr>
          </w:p>
        </w:tc>
      </w:tr>
      <w:tr w14:paraId="4EC09D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160" w:type="dxa"/>
          </w:tcPr>
          <w:p w14:paraId="5D2857D4">
            <w:pPr>
              <w:rPr>
                <w:rFonts w:ascii="黑体" w:hAnsi="黑体" w:eastAsia="黑体" w:cs="黑体"/>
                <w:sz w:val="36"/>
                <w:szCs w:val="36"/>
              </w:rPr>
            </w:pPr>
            <w:r>
              <w:rPr>
                <w:rFonts w:hint="eastAsia" w:ascii="黑体" w:hAnsi="黑体" w:eastAsia="黑体" w:cs="黑体"/>
                <w:sz w:val="36"/>
                <w:szCs w:val="36"/>
              </w:rPr>
              <w:t>专    业：</w:t>
            </w:r>
          </w:p>
        </w:tc>
        <w:tc>
          <w:tcPr>
            <w:tcW w:w="3625" w:type="dxa"/>
            <w:tcBorders>
              <w:bottom w:val="single" w:color="auto" w:sz="4" w:space="0"/>
            </w:tcBorders>
          </w:tcPr>
          <w:p w14:paraId="4FC6FDB0">
            <w:pPr>
              <w:rPr>
                <w:rFonts w:ascii="华文新魏" w:eastAsia="华文新魏"/>
                <w:b/>
                <w:bCs/>
                <w:sz w:val="36"/>
                <w:szCs w:val="36"/>
              </w:rPr>
            </w:pPr>
          </w:p>
        </w:tc>
      </w:tr>
      <w:tr w14:paraId="4465C0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160" w:type="dxa"/>
          </w:tcPr>
          <w:p w14:paraId="7C131368">
            <w:pPr>
              <w:rPr>
                <w:rFonts w:ascii="黑体" w:hAnsi="黑体" w:eastAsia="黑体" w:cs="黑体"/>
                <w:sz w:val="36"/>
                <w:szCs w:val="36"/>
              </w:rPr>
            </w:pPr>
            <w:r>
              <w:rPr>
                <w:rFonts w:hint="eastAsia" w:ascii="黑体" w:hAnsi="黑体" w:eastAsia="黑体" w:cs="黑体"/>
                <w:sz w:val="36"/>
                <w:szCs w:val="36"/>
              </w:rPr>
              <w:t>实践课程：</w:t>
            </w:r>
          </w:p>
        </w:tc>
        <w:tc>
          <w:tcPr>
            <w:tcW w:w="3625" w:type="dxa"/>
            <w:tcBorders>
              <w:bottom w:val="single" w:color="auto" w:sz="4" w:space="0"/>
            </w:tcBorders>
          </w:tcPr>
          <w:p w14:paraId="2D328EF3">
            <w:pPr>
              <w:rPr>
                <w:rFonts w:ascii="华文新魏" w:eastAsia="华文新魏"/>
                <w:b/>
                <w:bCs/>
                <w:sz w:val="36"/>
                <w:szCs w:val="36"/>
              </w:rPr>
            </w:pPr>
          </w:p>
        </w:tc>
      </w:tr>
    </w:tbl>
    <w:p w14:paraId="129666BD">
      <w:pPr>
        <w:ind w:firstLine="2162" w:firstLineChars="600"/>
        <w:rPr>
          <w:rFonts w:ascii="华文新魏" w:eastAsia="华文新魏"/>
          <w:b/>
          <w:bCs/>
          <w:sz w:val="36"/>
          <w:szCs w:val="36"/>
        </w:rPr>
      </w:pPr>
    </w:p>
    <w:p w14:paraId="13280982">
      <w:pPr>
        <w:ind w:firstLine="2162" w:firstLineChars="600"/>
        <w:rPr>
          <w:rFonts w:ascii="华文新魏" w:eastAsia="华文新魏"/>
          <w:b/>
          <w:bCs/>
          <w:sz w:val="36"/>
          <w:szCs w:val="36"/>
        </w:rPr>
      </w:pPr>
    </w:p>
    <w:p w14:paraId="2C17467C">
      <w:pPr>
        <w:ind w:firstLine="2162" w:firstLineChars="600"/>
        <w:rPr>
          <w:rFonts w:ascii="华文新魏" w:eastAsia="华文新魏"/>
          <w:b/>
          <w:bCs/>
          <w:sz w:val="36"/>
          <w:szCs w:val="36"/>
        </w:rPr>
      </w:pPr>
    </w:p>
    <w:p w14:paraId="528CBD82">
      <w:pPr>
        <w:jc w:val="center"/>
        <w:rPr>
          <w:rFonts w:ascii="黑体" w:hAnsi="黑体" w:eastAsia="黑体" w:cs="黑体"/>
          <w:sz w:val="40"/>
          <w:szCs w:val="40"/>
        </w:rPr>
      </w:pPr>
      <w:r>
        <w:rPr>
          <w:rFonts w:hint="eastAsia" w:ascii="黑体" w:hAnsi="黑体" w:eastAsia="黑体" w:cs="黑体"/>
          <w:sz w:val="40"/>
          <w:szCs w:val="40"/>
          <w:lang w:val="en-US" w:eastAsia="zh-CN"/>
        </w:rPr>
        <w:t xml:space="preserve">  </w:t>
      </w:r>
      <w:r>
        <w:rPr>
          <w:rFonts w:hint="eastAsia" w:ascii="黑体" w:hAnsi="黑体" w:eastAsia="黑体" w:cs="黑体"/>
          <w:sz w:val="40"/>
          <w:szCs w:val="40"/>
        </w:rPr>
        <w:t>年  月  日</w:t>
      </w:r>
    </w:p>
    <w:p w14:paraId="2C2601F4">
      <w:pPr>
        <w:jc w:val="center"/>
        <w:rPr>
          <w:bCs/>
        </w:rPr>
      </w:pPr>
      <w:r>
        <w:rPr>
          <w:rFonts w:eastAsia="华文新魏"/>
          <w:b/>
          <w:bCs/>
          <w:sz w:val="30"/>
        </w:rPr>
        <w:br w:type="page"/>
      </w:r>
    </w:p>
    <w:p w14:paraId="4C0CCC89">
      <w:pPr>
        <w:spacing w:line="360" w:lineRule="auto"/>
        <w:ind w:firstLine="640" w:firstLineChars="200"/>
        <w:jc w:val="center"/>
        <w:rPr>
          <w:rFonts w:ascii="黑体" w:hAnsi="黑体" w:eastAsia="黑体" w:cs="黑体"/>
          <w:bCs/>
          <w:color w:val="0000FF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FF"/>
          <w:sz w:val="32"/>
          <w:szCs w:val="32"/>
        </w:rPr>
        <w:t>关于某某县电子政务</w:t>
      </w:r>
      <w:r>
        <w:rPr>
          <w:rFonts w:hint="eastAsia" w:ascii="黑体" w:hAnsi="黑体" w:eastAsia="黑体" w:cs="黑体"/>
          <w:bCs/>
          <w:color w:val="0000FF"/>
          <w:sz w:val="32"/>
          <w:szCs w:val="32"/>
          <w:lang w:val="en-US" w:eastAsia="zh-CN"/>
        </w:rPr>
        <w:t>服务平台</w:t>
      </w:r>
      <w:r>
        <w:rPr>
          <w:rFonts w:hint="eastAsia" w:ascii="黑体" w:hAnsi="黑体" w:eastAsia="黑体" w:cs="黑体"/>
          <w:bCs/>
          <w:color w:val="0000FF"/>
          <w:sz w:val="32"/>
          <w:szCs w:val="32"/>
        </w:rPr>
        <w:t>建设的调研报告</w:t>
      </w:r>
    </w:p>
    <w:p w14:paraId="6FCB7279">
      <w:pPr>
        <w:spacing w:line="360" w:lineRule="auto"/>
        <w:ind w:firstLine="643" w:firstLineChars="200"/>
        <w:jc w:val="center"/>
        <w:rPr>
          <w:rFonts w:ascii="宋体" w:hAnsi="宋体"/>
          <w:b/>
          <w:sz w:val="32"/>
          <w:szCs w:val="32"/>
        </w:rPr>
      </w:pPr>
    </w:p>
    <w:p w14:paraId="75BA71E2">
      <w:pPr>
        <w:widowControl/>
        <w:spacing w:line="360" w:lineRule="auto"/>
        <w:rPr>
          <w:rFonts w:ascii="宋体" w:hAnsi="宋体" w:eastAsia="宋体"/>
          <w:color w:val="0000FF"/>
          <w:kern w:val="0"/>
          <w:sz w:val="24"/>
        </w:rPr>
      </w:pPr>
      <w:r>
        <w:rPr>
          <w:rFonts w:hint="eastAsia" w:ascii="宋体" w:hAnsi="宋体"/>
          <w:kern w:val="0"/>
          <w:sz w:val="24"/>
        </w:rPr>
        <w:t>调研时间：</w:t>
      </w:r>
      <w:r>
        <w:rPr>
          <w:rFonts w:hint="eastAsia" w:ascii="宋体" w:hAnsi="宋体"/>
          <w:color w:val="0000FF"/>
          <w:kern w:val="0"/>
          <w:sz w:val="24"/>
          <w:lang w:val="en-US" w:eastAsia="zh-CN"/>
        </w:rPr>
        <w:t xml:space="preserve">     </w:t>
      </w:r>
      <w:r>
        <w:rPr>
          <w:rFonts w:hint="eastAsia" w:ascii="宋体" w:hAnsi="宋体"/>
          <w:color w:val="0000FF"/>
          <w:kern w:val="0"/>
          <w:sz w:val="24"/>
        </w:rPr>
        <w:t>年  月  日至  月  日</w:t>
      </w:r>
    </w:p>
    <w:p w14:paraId="418EACFB">
      <w:pPr>
        <w:widowControl/>
        <w:spacing w:line="360" w:lineRule="auto"/>
        <w:rPr>
          <w:rFonts w:ascii="宋体" w:hAnsi="宋体" w:eastAsia="宋体"/>
          <w:kern w:val="0"/>
          <w:sz w:val="24"/>
        </w:rPr>
      </w:pPr>
      <w:r>
        <w:rPr>
          <w:rFonts w:hint="eastAsia" w:ascii="宋体" w:hAnsi="宋体"/>
          <w:kern w:val="0"/>
          <w:sz w:val="24"/>
        </w:rPr>
        <w:t>调研地点：</w:t>
      </w:r>
    </w:p>
    <w:p w14:paraId="308BC01B">
      <w:pPr>
        <w:widowControl/>
        <w:spacing w:line="360" w:lineRule="auto"/>
        <w:rPr>
          <w:rFonts w:ascii="宋体" w:hAnsi="宋体"/>
          <w:kern w:val="0"/>
          <w:sz w:val="24"/>
        </w:rPr>
      </w:pPr>
      <w:r>
        <w:rPr>
          <w:rFonts w:hint="eastAsia" w:ascii="宋体" w:hAnsi="宋体"/>
          <w:kern w:val="0"/>
          <w:sz w:val="24"/>
        </w:rPr>
        <w:t>调研方式：</w:t>
      </w:r>
      <w:r>
        <w:rPr>
          <w:rFonts w:hint="eastAsia" w:ascii="宋体" w:hAnsi="宋体"/>
          <w:color w:val="0000FF"/>
          <w:kern w:val="0"/>
          <w:sz w:val="24"/>
        </w:rPr>
        <w:t>问卷调查方式或访谈等</w:t>
      </w:r>
    </w:p>
    <w:p w14:paraId="3F5A4858">
      <w:pPr>
        <w:widowControl/>
        <w:spacing w:line="360" w:lineRule="auto"/>
        <w:rPr>
          <w:rFonts w:ascii="宋体" w:hAnsi="宋体"/>
          <w:kern w:val="0"/>
          <w:sz w:val="24"/>
        </w:rPr>
      </w:pPr>
      <w:r>
        <w:rPr>
          <w:rFonts w:hint="eastAsia" w:ascii="宋体" w:hAnsi="宋体"/>
          <w:kern w:val="0"/>
          <w:sz w:val="24"/>
        </w:rPr>
        <w:t>调研内容：</w:t>
      </w:r>
    </w:p>
    <w:p w14:paraId="47BE5AA7">
      <w:pPr>
        <w:spacing w:line="360" w:lineRule="auto"/>
        <w:ind w:firstLine="482" w:firstLineChars="200"/>
        <w:jc w:val="center"/>
        <w:rPr>
          <w:rFonts w:ascii="宋体" w:hAnsi="宋体"/>
          <w:b/>
          <w:sz w:val="24"/>
        </w:rPr>
      </w:pPr>
    </w:p>
    <w:p w14:paraId="57823EE9">
      <w:pPr>
        <w:spacing w:line="360" w:lineRule="auto"/>
        <w:ind w:firstLine="480" w:firstLineChars="200"/>
        <w:rPr>
          <w:rFonts w:ascii="宋体" w:hAnsi="宋体"/>
          <w:sz w:val="24"/>
        </w:rPr>
      </w:pPr>
    </w:p>
    <w:p w14:paraId="39D9B985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调研报告主要内容包括以下内容</w:t>
      </w:r>
    </w:p>
    <w:p w14:paraId="70080735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前言：主要介绍调研的背景及必须性等内容</w:t>
      </w:r>
    </w:p>
    <w:p w14:paraId="6BF4F205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一、调研基本情况：主要介绍调研的方式方法、调研对象的基本概况等内容</w:t>
      </w:r>
    </w:p>
    <w:p w14:paraId="20B4180E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二、调研中发现的问题：主要介绍通过调研发现某些方面存在的问题并一一进行分析</w:t>
      </w:r>
    </w:p>
    <w:p w14:paraId="0B07E165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三、改进的建议：提出调研中发现问题的改进策略‌</w:t>
      </w:r>
    </w:p>
    <w:p w14:paraId="519FD10E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结语：总结调研结果，提出未来发展的预测和建议‌</w:t>
      </w:r>
    </w:p>
    <w:p w14:paraId="2784F9B5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附录‌：包含</w:t>
      </w:r>
      <w:r>
        <w:rPr>
          <w:rFonts w:hint="eastAsia" w:ascii="宋体" w:hAnsi="宋体"/>
          <w:sz w:val="24"/>
        </w:rPr>
        <w:t>调研问卷</w:t>
      </w:r>
      <w:r>
        <w:rPr>
          <w:rFonts w:hint="eastAsia" w:ascii="宋体" w:hAnsi="宋体"/>
          <w:sz w:val="24"/>
          <w:lang w:val="en-US" w:eastAsia="zh-CN"/>
        </w:rPr>
        <w:t>及数据</w:t>
      </w:r>
      <w:r>
        <w:rPr>
          <w:rFonts w:hint="eastAsia" w:ascii="宋体" w:hAnsi="宋体"/>
          <w:sz w:val="24"/>
        </w:rPr>
        <w:t>、访谈提纲等</w:t>
      </w:r>
      <w:r>
        <w:rPr>
          <w:rFonts w:ascii="宋体" w:hAnsi="宋体"/>
          <w:sz w:val="24"/>
        </w:rPr>
        <w:t>‌</w:t>
      </w:r>
    </w:p>
    <w:p w14:paraId="2A02E773">
      <w:pPr>
        <w:spacing w:line="360" w:lineRule="auto"/>
        <w:ind w:firstLine="480" w:firstLineChars="200"/>
        <w:rPr>
          <w:rFonts w:ascii="宋体" w:hAnsi="宋体"/>
          <w:sz w:val="24"/>
        </w:rPr>
      </w:pPr>
    </w:p>
    <w:p w14:paraId="3EDD1028">
      <w:pPr>
        <w:spacing w:line="360" w:lineRule="auto"/>
        <w:ind w:firstLine="480" w:firstLineChars="200"/>
        <w:rPr>
          <w:rFonts w:ascii="宋体" w:hAnsi="宋体"/>
          <w:sz w:val="24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E5FAD1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66CB3E0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66CB3E0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2046D7"/>
    <w:multiLevelType w:val="singleLevel"/>
    <w:tmpl w:val="842046D7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43326069"/>
    <w:multiLevelType w:val="singleLevel"/>
    <w:tmpl w:val="43326069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363B32"/>
    <w:rsid w:val="00493F3D"/>
    <w:rsid w:val="006C7B1C"/>
    <w:rsid w:val="00ED4EFE"/>
    <w:rsid w:val="00F16F7A"/>
    <w:rsid w:val="00F81116"/>
    <w:rsid w:val="043A7135"/>
    <w:rsid w:val="046E570C"/>
    <w:rsid w:val="093635D4"/>
    <w:rsid w:val="0C660B78"/>
    <w:rsid w:val="0CC21526"/>
    <w:rsid w:val="0CFD3157"/>
    <w:rsid w:val="0FCF604A"/>
    <w:rsid w:val="12080872"/>
    <w:rsid w:val="12A548BC"/>
    <w:rsid w:val="15520056"/>
    <w:rsid w:val="16534086"/>
    <w:rsid w:val="178D35C8"/>
    <w:rsid w:val="18585F5C"/>
    <w:rsid w:val="19704F4F"/>
    <w:rsid w:val="1C672639"/>
    <w:rsid w:val="1D8B67FB"/>
    <w:rsid w:val="25C43F3D"/>
    <w:rsid w:val="277A68D1"/>
    <w:rsid w:val="28C41452"/>
    <w:rsid w:val="2A321C42"/>
    <w:rsid w:val="2A4904A0"/>
    <w:rsid w:val="2ACF7D27"/>
    <w:rsid w:val="2BE23A8A"/>
    <w:rsid w:val="2DE6137F"/>
    <w:rsid w:val="302503E9"/>
    <w:rsid w:val="30A92DC8"/>
    <w:rsid w:val="30F80DE7"/>
    <w:rsid w:val="36905FE1"/>
    <w:rsid w:val="388008B3"/>
    <w:rsid w:val="38F848ED"/>
    <w:rsid w:val="3ACD3B57"/>
    <w:rsid w:val="3C0E4427"/>
    <w:rsid w:val="3C97441D"/>
    <w:rsid w:val="3E2241BA"/>
    <w:rsid w:val="41654AEA"/>
    <w:rsid w:val="41E42350"/>
    <w:rsid w:val="42EA4BD5"/>
    <w:rsid w:val="43F81C45"/>
    <w:rsid w:val="46BB51AC"/>
    <w:rsid w:val="485F6737"/>
    <w:rsid w:val="49383A30"/>
    <w:rsid w:val="49F7474D"/>
    <w:rsid w:val="4A3C5CA2"/>
    <w:rsid w:val="4BEF5B77"/>
    <w:rsid w:val="4EF86F9D"/>
    <w:rsid w:val="59363B32"/>
    <w:rsid w:val="5B317729"/>
    <w:rsid w:val="5BC621D1"/>
    <w:rsid w:val="5F816B3B"/>
    <w:rsid w:val="60B45DE9"/>
    <w:rsid w:val="61D2367E"/>
    <w:rsid w:val="69C064B2"/>
    <w:rsid w:val="6CC560F4"/>
    <w:rsid w:val="6DC81DD9"/>
    <w:rsid w:val="6F47188A"/>
    <w:rsid w:val="703B4AE4"/>
    <w:rsid w:val="706758D9"/>
    <w:rsid w:val="708E10B8"/>
    <w:rsid w:val="74732A9E"/>
    <w:rsid w:val="74C432FA"/>
    <w:rsid w:val="7C055914"/>
    <w:rsid w:val="7CC64DAD"/>
    <w:rsid w:val="7D69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3"/>
    <w:qFormat/>
    <w:uiPriority w:val="0"/>
    <w:pPr>
      <w:jc w:val="left"/>
    </w:pPr>
  </w:style>
  <w:style w:type="paragraph" w:styleId="3">
    <w:name w:val="Balloon Text"/>
    <w:basedOn w:val="1"/>
    <w:link w:val="15"/>
    <w:qFormat/>
    <w:uiPriority w:val="0"/>
    <w:rPr>
      <w:sz w:val="18"/>
      <w:szCs w:val="18"/>
    </w:r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4"/>
    <w:qFormat/>
    <w:uiPriority w:val="0"/>
    <w:rPr>
      <w:b/>
      <w:bCs/>
    </w:rPr>
  </w:style>
  <w:style w:type="character" w:styleId="9">
    <w:name w:val="annotation reference"/>
    <w:basedOn w:val="8"/>
    <w:qFormat/>
    <w:uiPriority w:val="0"/>
    <w:rPr>
      <w:sz w:val="21"/>
      <w:szCs w:val="21"/>
    </w:rPr>
  </w:style>
  <w:style w:type="paragraph" w:customStyle="1" w:styleId="10">
    <w:name w:val="p0"/>
    <w:basedOn w:val="1"/>
    <w:qFormat/>
    <w:uiPriority w:val="0"/>
    <w:pPr>
      <w:widowControl/>
    </w:pPr>
    <w:rPr>
      <w:kern w:val="0"/>
      <w:szCs w:val="21"/>
    </w:rPr>
  </w:style>
  <w:style w:type="character" w:customStyle="1" w:styleId="11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2">
    <w:name w:val="页脚 Char"/>
    <w:basedOn w:val="8"/>
    <w:link w:val="4"/>
    <w:qFormat/>
    <w:uiPriority w:val="0"/>
    <w:rPr>
      <w:kern w:val="2"/>
      <w:sz w:val="18"/>
      <w:szCs w:val="18"/>
    </w:rPr>
  </w:style>
  <w:style w:type="character" w:customStyle="1" w:styleId="13">
    <w:name w:val="批注文字 Char"/>
    <w:basedOn w:val="8"/>
    <w:link w:val="2"/>
    <w:qFormat/>
    <w:uiPriority w:val="0"/>
    <w:rPr>
      <w:kern w:val="2"/>
      <w:sz w:val="21"/>
      <w:szCs w:val="24"/>
    </w:rPr>
  </w:style>
  <w:style w:type="character" w:customStyle="1" w:styleId="14">
    <w:name w:val="批注主题 Char"/>
    <w:basedOn w:val="13"/>
    <w:link w:val="6"/>
    <w:qFormat/>
    <w:uiPriority w:val="0"/>
    <w:rPr>
      <w:b/>
      <w:bCs/>
      <w:kern w:val="2"/>
      <w:sz w:val="21"/>
      <w:szCs w:val="24"/>
    </w:rPr>
  </w:style>
  <w:style w:type="character" w:customStyle="1" w:styleId="15">
    <w:name w:val="批注框文本 Char"/>
    <w:basedOn w:val="8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6</Pages>
  <Words>1324</Words>
  <Characters>1395</Characters>
  <Lines>11</Lines>
  <Paragraphs>3</Paragraphs>
  <TotalTime>66</TotalTime>
  <ScaleCrop>false</ScaleCrop>
  <LinksUpToDate>false</LinksUpToDate>
  <CharactersWithSpaces>1435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2025-01-19T08:44:00Z</dcterms:created>
  <dc:creator>李轮</dc:creator>
  <cp:lastModifiedBy>程樊启</cp:lastModifiedBy>
  <dcterms:modified xsi:type="dcterms:W3CDTF">2025-12-24T02:30:46Z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CF44874EFF0A4B33B37114BBFA1FBFDA_13</vt:lpwstr>
  </property>
  <property fmtid="{D5CDD505-2E9C-101B-9397-08002B2CF9AE}" pid="4" name="KSOTemplateDocerSaveRecord">
    <vt:lpwstr>eyJoZGlkIjoiYTNjZThkMzMxOTJmNjdiN2UwZTg3NmNhZDk0M2RiMTIiLCJ1c2VySWQiOiI2ODMxMDkwNDAifQ==</vt:lpwstr>
  </property>
</Properties>
</file>