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E2B6B">
      <w:pPr>
        <w:spacing w:line="720" w:lineRule="auto"/>
        <w:rPr>
          <w:rFonts w:eastAsia="黑体"/>
          <w:sz w:val="30"/>
        </w:rPr>
      </w:pPr>
      <w:r>
        <w:rPr>
          <w:rFonts w:hint="eastAsia" w:eastAsia="黑体"/>
          <w:sz w:val="30"/>
        </w:rPr>
        <w:t>江苏省高等教育自学考试大纲</w:t>
      </w:r>
    </w:p>
    <w:p w14:paraId="0DF4981E">
      <w:pPr>
        <w:jc w:val="center"/>
        <w:rPr>
          <w:rFonts w:eastAsia="黑体"/>
          <w:sz w:val="30"/>
        </w:rPr>
      </w:pPr>
    </w:p>
    <w:p w14:paraId="7B7C6E1E">
      <w:pPr>
        <w:jc w:val="center"/>
        <w:rPr>
          <w:rFonts w:eastAsia="黑体"/>
          <w:sz w:val="30"/>
        </w:rPr>
      </w:pPr>
    </w:p>
    <w:p w14:paraId="6F997014">
      <w:pPr>
        <w:jc w:val="center"/>
        <w:rPr>
          <w:rFonts w:eastAsia="黑体"/>
          <w:sz w:val="30"/>
        </w:rPr>
      </w:pPr>
    </w:p>
    <w:p w14:paraId="6C6DA0C8">
      <w:pPr>
        <w:jc w:val="center"/>
        <w:rPr>
          <w:rFonts w:eastAsia="黑体"/>
          <w:sz w:val="30"/>
        </w:rPr>
      </w:pPr>
    </w:p>
    <w:p w14:paraId="44BDF9B0">
      <w:pPr>
        <w:jc w:val="center"/>
        <w:rPr>
          <w:rFonts w:eastAsia="黑体"/>
          <w:sz w:val="30"/>
        </w:rPr>
      </w:pPr>
    </w:p>
    <w:p w14:paraId="4720B778">
      <w:pPr>
        <w:jc w:val="center"/>
        <w:rPr>
          <w:rFonts w:eastAsia="黑体"/>
          <w:sz w:val="30"/>
        </w:rPr>
      </w:pPr>
    </w:p>
    <w:p w14:paraId="4D2B4AF6">
      <w:pPr>
        <w:jc w:val="center"/>
        <w:rPr>
          <w:rFonts w:hint="eastAsia" w:eastAsia="黑体"/>
          <w:b/>
          <w:bCs/>
          <w:sz w:val="52"/>
          <w:lang w:eastAsia="zh-CN"/>
        </w:rPr>
      </w:pPr>
      <w:bookmarkStart w:id="0" w:name="_Hlk208572333"/>
      <w:r>
        <w:rPr>
          <w:rFonts w:hint="eastAsia" w:ascii="黑体" w:hAnsi="黑体" w:eastAsia="黑体" w:cs="黑体"/>
          <w:b/>
          <w:bCs/>
          <w:sz w:val="48"/>
          <w:szCs w:val="48"/>
        </w:rPr>
        <w:t>1427</w:t>
      </w:r>
      <w:r>
        <w:rPr>
          <w:rFonts w:hint="eastAsia" w:ascii="黑体" w:hAnsi="黑体" w:eastAsia="黑体" w:cs="黑体"/>
          <w:b/>
          <w:bCs/>
          <w:sz w:val="48"/>
          <w:szCs w:val="48"/>
          <w:lang w:val="en-US" w:eastAsia="zh-CN"/>
        </w:rPr>
        <w:t>5</w:t>
      </w:r>
      <w:r>
        <w:rPr>
          <w:rFonts w:hint="eastAsia" w:ascii="黑体" w:hAnsi="黑体" w:eastAsia="黑体" w:cs="黑体"/>
          <w:b/>
          <w:bCs/>
          <w:sz w:val="48"/>
          <w:szCs w:val="48"/>
        </w:rPr>
        <w:t>　水污染控制与管道工程</w:t>
      </w:r>
      <w:bookmarkEnd w:id="0"/>
      <w:r>
        <w:rPr>
          <w:rFonts w:hint="eastAsia" w:ascii="黑体" w:hAnsi="黑体" w:eastAsia="黑体" w:cs="黑体"/>
          <w:b/>
          <w:bCs/>
          <w:sz w:val="48"/>
          <w:szCs w:val="48"/>
          <w:lang w:eastAsia="zh-CN"/>
        </w:rPr>
        <w:t>（</w:t>
      </w:r>
      <w:r>
        <w:rPr>
          <w:rFonts w:hint="eastAsia" w:ascii="黑体" w:hAnsi="黑体" w:eastAsia="黑体" w:cs="黑体"/>
          <w:b/>
          <w:bCs/>
          <w:sz w:val="48"/>
          <w:szCs w:val="48"/>
          <w:lang w:val="en-US" w:eastAsia="zh-CN"/>
        </w:rPr>
        <w:t>设计</w:t>
      </w:r>
      <w:r>
        <w:rPr>
          <w:rFonts w:hint="eastAsia" w:ascii="黑体" w:hAnsi="黑体" w:eastAsia="黑体" w:cs="黑体"/>
          <w:b/>
          <w:bCs/>
          <w:sz w:val="48"/>
          <w:szCs w:val="48"/>
          <w:lang w:eastAsia="zh-CN"/>
        </w:rPr>
        <w:t>）</w:t>
      </w:r>
    </w:p>
    <w:p w14:paraId="10E7AD71">
      <w:pPr>
        <w:spacing w:line="720" w:lineRule="auto"/>
        <w:jc w:val="right"/>
        <w:rPr>
          <w:rFonts w:eastAsia="黑体"/>
          <w:sz w:val="30"/>
        </w:rPr>
      </w:pPr>
    </w:p>
    <w:p w14:paraId="22F57503">
      <w:pPr>
        <w:spacing w:line="720" w:lineRule="auto"/>
        <w:jc w:val="right"/>
        <w:rPr>
          <w:rFonts w:eastAsia="黑体"/>
          <w:sz w:val="30"/>
        </w:rPr>
      </w:pPr>
      <w:r>
        <w:rPr>
          <w:rFonts w:hint="eastAsia" w:eastAsia="黑体"/>
          <w:sz w:val="30"/>
        </w:rPr>
        <w:t>河海大学编（2</w:t>
      </w:r>
      <w:r>
        <w:rPr>
          <w:rFonts w:eastAsia="黑体"/>
          <w:sz w:val="30"/>
        </w:rPr>
        <w:t>02</w:t>
      </w:r>
      <w:r>
        <w:rPr>
          <w:rFonts w:hint="eastAsia" w:eastAsia="黑体"/>
          <w:sz w:val="30"/>
        </w:rPr>
        <w:t>5年）</w:t>
      </w:r>
    </w:p>
    <w:p w14:paraId="3D96A6F7">
      <w:pPr>
        <w:jc w:val="center"/>
        <w:rPr>
          <w:rFonts w:eastAsia="黑体"/>
          <w:sz w:val="30"/>
        </w:rPr>
      </w:pPr>
    </w:p>
    <w:p w14:paraId="57903862">
      <w:pPr>
        <w:jc w:val="center"/>
        <w:rPr>
          <w:rFonts w:eastAsia="黑体"/>
          <w:sz w:val="30"/>
        </w:rPr>
      </w:pPr>
    </w:p>
    <w:p w14:paraId="52CFDB98">
      <w:pPr>
        <w:jc w:val="center"/>
        <w:rPr>
          <w:rFonts w:eastAsia="黑体"/>
          <w:sz w:val="30"/>
        </w:rPr>
      </w:pPr>
    </w:p>
    <w:p w14:paraId="0B2847D0">
      <w:pPr>
        <w:jc w:val="center"/>
        <w:rPr>
          <w:rFonts w:eastAsia="黑体"/>
          <w:sz w:val="30"/>
        </w:rPr>
      </w:pPr>
    </w:p>
    <w:p w14:paraId="2357B820">
      <w:pPr>
        <w:jc w:val="center"/>
        <w:rPr>
          <w:rFonts w:eastAsia="黑体"/>
          <w:sz w:val="30"/>
        </w:rPr>
      </w:pPr>
    </w:p>
    <w:p w14:paraId="773F7AFD">
      <w:pPr>
        <w:jc w:val="center"/>
        <w:rPr>
          <w:rFonts w:eastAsia="黑体"/>
          <w:sz w:val="30"/>
        </w:rPr>
      </w:pPr>
    </w:p>
    <w:p w14:paraId="595E342B">
      <w:pPr>
        <w:jc w:val="center"/>
        <w:rPr>
          <w:rFonts w:eastAsia="黑体"/>
          <w:sz w:val="30"/>
        </w:rPr>
      </w:pPr>
    </w:p>
    <w:p w14:paraId="0E0443FE">
      <w:pPr>
        <w:jc w:val="center"/>
        <w:rPr>
          <w:rFonts w:eastAsia="黑体"/>
          <w:sz w:val="30"/>
        </w:rPr>
      </w:pPr>
    </w:p>
    <w:p w14:paraId="54B1301A">
      <w:pPr>
        <w:spacing w:line="360" w:lineRule="auto"/>
        <w:jc w:val="center"/>
        <w:rPr>
          <w:rFonts w:ascii="黑体" w:hAnsi="黑体" w:eastAsia="黑体" w:cs="黑体"/>
          <w:sz w:val="28"/>
          <w:szCs w:val="36"/>
        </w:rPr>
      </w:pPr>
    </w:p>
    <w:p w14:paraId="2C8F4491">
      <w:pPr>
        <w:spacing w:line="360" w:lineRule="auto"/>
        <w:rPr>
          <w:sz w:val="24"/>
          <w:szCs w:val="32"/>
        </w:rPr>
      </w:pPr>
    </w:p>
    <w:p w14:paraId="5CBBD256">
      <w:pPr>
        <w:spacing w:line="360" w:lineRule="auto"/>
        <w:ind w:firstLine="562" w:firstLineChars="200"/>
        <w:rPr>
          <w:rFonts w:hint="eastAsia" w:ascii="宋体" w:hAnsi="宋体" w:eastAsia="宋体" w:cs="Times New Roman"/>
          <w:b/>
          <w:sz w:val="28"/>
          <w:szCs w:val="28"/>
        </w:rPr>
      </w:pPr>
    </w:p>
    <w:p w14:paraId="0F463077">
      <w:pPr>
        <w:spacing w:line="360" w:lineRule="auto"/>
        <w:ind w:firstLine="562" w:firstLineChars="200"/>
        <w:rPr>
          <w:rFonts w:ascii="宋体" w:hAnsi="宋体" w:eastAsia="宋体" w:cs="Times New Roman"/>
          <w:b/>
          <w:sz w:val="28"/>
          <w:szCs w:val="28"/>
        </w:rPr>
      </w:pPr>
      <w:r>
        <w:rPr>
          <w:rFonts w:hint="eastAsia" w:ascii="宋体" w:hAnsi="宋体" w:eastAsia="宋体" w:cs="Times New Roman"/>
          <w:b/>
          <w:sz w:val="28"/>
          <w:szCs w:val="28"/>
        </w:rPr>
        <w:t>一、课程性质和考核目标</w:t>
      </w:r>
    </w:p>
    <w:p w14:paraId="12BE0B24">
      <w:pPr>
        <w:spacing w:line="360" w:lineRule="auto"/>
        <w:ind w:firstLine="562" w:firstLineChars="200"/>
        <w:rPr>
          <w:b/>
          <w:bCs/>
          <w:sz w:val="28"/>
          <w:szCs w:val="28"/>
        </w:rPr>
      </w:pPr>
      <w:r>
        <w:rPr>
          <w:rFonts w:hint="eastAsia"/>
          <w:b/>
          <w:bCs/>
          <w:sz w:val="28"/>
          <w:szCs w:val="28"/>
        </w:rPr>
        <w:t>1.课程性质</w:t>
      </w:r>
    </w:p>
    <w:p w14:paraId="1FBE299D">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水污染控制与管道工程（设计）》是高等教育自学考试环境工程专业的核心实践课程，属于专业必修环节，与理论课程《水污染控制工程》紧密衔接。课程以工程设计为核心，强调将理论知识转化为解决实际环境问题的能力</w:t>
      </w:r>
      <w:r>
        <w:rPr>
          <w:rFonts w:hint="eastAsia" w:ascii="楷体" w:hAnsi="楷体" w:eastAsia="楷体" w:cs="楷体"/>
          <w:sz w:val="28"/>
          <w:szCs w:val="28"/>
          <w:lang w:eastAsia="zh-CN"/>
        </w:rPr>
        <w:t>。</w:t>
      </w:r>
    </w:p>
    <w:p w14:paraId="5D4F3517">
      <w:pPr>
        <w:spacing w:line="360" w:lineRule="auto"/>
        <w:ind w:firstLine="562" w:firstLineChars="200"/>
        <w:rPr>
          <w:b/>
          <w:bCs/>
          <w:sz w:val="28"/>
          <w:szCs w:val="28"/>
        </w:rPr>
      </w:pPr>
      <w:r>
        <w:rPr>
          <w:rFonts w:hint="eastAsia"/>
          <w:b/>
          <w:bCs/>
          <w:sz w:val="28"/>
          <w:szCs w:val="28"/>
        </w:rPr>
        <w:t>2.考核目标</w:t>
      </w:r>
    </w:p>
    <w:p w14:paraId="7D07C4B2">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课程考核以工程设计能力为核心，重点检验</w:t>
      </w:r>
      <w:r>
        <w:rPr>
          <w:rFonts w:hint="eastAsia" w:ascii="楷体" w:hAnsi="楷体" w:eastAsia="楷体" w:cs="楷体"/>
          <w:sz w:val="28"/>
          <w:szCs w:val="28"/>
          <w:lang w:val="en-US" w:eastAsia="zh-CN"/>
        </w:rPr>
        <w:t>考生</w:t>
      </w:r>
      <w:r>
        <w:rPr>
          <w:rFonts w:hint="eastAsia" w:ascii="楷体" w:hAnsi="楷体" w:eastAsia="楷体" w:cs="楷体"/>
          <w:sz w:val="28"/>
          <w:szCs w:val="28"/>
        </w:rPr>
        <w:t>对水污染控制与管道工程设计方法的掌握程度。考核强调工程思维与综合应用，注重培养学生发现、分析和解决实际工程问题的素养，提升其在水污染控制与管道工程领域的实践操作与技术创新水平。</w:t>
      </w:r>
    </w:p>
    <w:p w14:paraId="242C223E">
      <w:pPr>
        <w:spacing w:line="360" w:lineRule="auto"/>
        <w:ind w:firstLine="562" w:firstLineChars="200"/>
        <w:rPr>
          <w:b/>
          <w:bCs/>
          <w:sz w:val="28"/>
          <w:szCs w:val="28"/>
        </w:rPr>
      </w:pPr>
      <w:r>
        <w:rPr>
          <w:rFonts w:hint="eastAsia"/>
          <w:b/>
          <w:bCs/>
          <w:sz w:val="28"/>
          <w:szCs w:val="28"/>
        </w:rPr>
        <w:t>二、考核内容</w:t>
      </w:r>
    </w:p>
    <w:p w14:paraId="4C2A6B8E">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本课程的考核内容以江苏省高等教育自学考试大纲“14274　水污染控制与管道工程”为依据，考核的主要内容为大纲中要求应用的内容部分，主要涉及章节如下：</w:t>
      </w:r>
    </w:p>
    <w:p w14:paraId="126D07EC">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第四章  城镇雨水管渠的设计</w:t>
      </w:r>
    </w:p>
    <w:p w14:paraId="7BD59A55">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第五章  排水泵站的设计</w:t>
      </w:r>
    </w:p>
    <w:p w14:paraId="34D9028A">
      <w:pPr>
        <w:spacing w:line="360" w:lineRule="auto"/>
        <w:ind w:firstLine="562" w:firstLineChars="200"/>
        <w:rPr>
          <w:b/>
          <w:bCs/>
          <w:sz w:val="28"/>
          <w:szCs w:val="28"/>
        </w:rPr>
      </w:pPr>
      <w:r>
        <w:rPr>
          <w:rFonts w:hint="eastAsia"/>
          <w:b/>
          <w:bCs/>
          <w:sz w:val="28"/>
          <w:szCs w:val="28"/>
        </w:rPr>
        <w:t>三、考核说明</w:t>
      </w:r>
    </w:p>
    <w:p w14:paraId="04433D08">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坚持质量标准，注重能力考查，使考核合格者能达到一般普通高等学校同专业同课程的结业水平，并体现自学考试以培养应用型人才为主要目标的特点。</w:t>
      </w:r>
    </w:p>
    <w:p w14:paraId="228907AB">
      <w:pPr>
        <w:spacing w:line="360" w:lineRule="auto"/>
        <w:ind w:firstLine="562" w:firstLineChars="200"/>
        <w:rPr>
          <w:b/>
          <w:bCs/>
          <w:sz w:val="28"/>
          <w:szCs w:val="28"/>
        </w:rPr>
      </w:pPr>
      <w:r>
        <w:rPr>
          <w:rFonts w:hint="eastAsia"/>
          <w:b/>
          <w:bCs/>
          <w:sz w:val="28"/>
          <w:szCs w:val="28"/>
        </w:rPr>
        <w:t>1.考核依据</w:t>
      </w:r>
    </w:p>
    <w:p w14:paraId="7DF7E197">
      <w:pPr>
        <w:widowControl/>
        <w:spacing w:line="360" w:lineRule="auto"/>
        <w:ind w:firstLine="560" w:firstLineChars="200"/>
        <w:jc w:val="left"/>
        <w:rPr>
          <w:rFonts w:ascii="楷体" w:hAnsi="楷体" w:eastAsia="楷体" w:cs="楷体"/>
          <w:sz w:val="28"/>
          <w:szCs w:val="28"/>
        </w:rPr>
      </w:pPr>
      <w:r>
        <w:rPr>
          <w:rFonts w:hint="eastAsia" w:ascii="楷体" w:hAnsi="楷体" w:eastAsia="楷体" w:cs="楷体"/>
          <w:color w:val="000000"/>
          <w:kern w:val="0"/>
          <w:sz w:val="28"/>
          <w:szCs w:val="28"/>
          <w:lang w:bidi="ar"/>
        </w:rPr>
        <w:t>本课程使用教程为：高廷耀、顾国维、周琪主编，《水污染控制工程》（上册）（第四版），高等教育出版社，2014年。高廷耀、顾国维、周琪主编，《水污染控制工程》（下册）（第四版），高等教育出版社，2015年。</w:t>
      </w:r>
    </w:p>
    <w:p w14:paraId="29966015">
      <w:pPr>
        <w:spacing w:line="360" w:lineRule="auto"/>
        <w:ind w:firstLine="562" w:firstLineChars="200"/>
        <w:rPr>
          <w:b/>
          <w:bCs/>
          <w:sz w:val="28"/>
          <w:szCs w:val="28"/>
        </w:rPr>
      </w:pPr>
      <w:r>
        <w:rPr>
          <w:rFonts w:hint="eastAsia"/>
          <w:b/>
          <w:bCs/>
          <w:sz w:val="28"/>
          <w:szCs w:val="28"/>
        </w:rPr>
        <w:t>2.本课程考核的知识与能力的关系</w:t>
      </w:r>
    </w:p>
    <w:p w14:paraId="08F0D3C8">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水污染控制与管道工程（设计）》课程主要目的是考核考生的基本理论、基本知识和基本技能，以及联系实际、运用所学的理论分析问题和解决问题的能力，确保考核合格者达到全日制普通高等学校本专业相同课程的结业水平。</w:t>
      </w:r>
    </w:p>
    <w:p w14:paraId="19F96471">
      <w:pPr>
        <w:numPr>
          <w:ilvl w:val="0"/>
          <w:numId w:val="1"/>
        </w:numPr>
        <w:spacing w:line="360" w:lineRule="auto"/>
        <w:ind w:firstLine="562" w:firstLineChars="200"/>
        <w:rPr>
          <w:b/>
          <w:bCs/>
          <w:sz w:val="28"/>
          <w:szCs w:val="28"/>
        </w:rPr>
      </w:pPr>
      <w:r>
        <w:rPr>
          <w:rFonts w:hint="eastAsia"/>
          <w:b/>
          <w:bCs/>
          <w:sz w:val="28"/>
          <w:szCs w:val="28"/>
        </w:rPr>
        <w:t>考核对象</w:t>
      </w:r>
    </w:p>
    <w:p w14:paraId="0F8F1327">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该实践课程的开展，须建立在已完成《水污染控制与管道工程》理论课程（课程代码14274）的基础之上。</w:t>
      </w:r>
    </w:p>
    <w:p w14:paraId="7EDE794F">
      <w:pPr>
        <w:numPr>
          <w:ilvl w:val="0"/>
          <w:numId w:val="2"/>
        </w:numPr>
        <w:spacing w:line="360" w:lineRule="auto"/>
        <w:ind w:firstLine="562" w:firstLineChars="200"/>
        <w:rPr>
          <w:b/>
          <w:bCs/>
          <w:sz w:val="28"/>
          <w:szCs w:val="28"/>
        </w:rPr>
      </w:pPr>
      <w:r>
        <w:rPr>
          <w:rFonts w:hint="eastAsia"/>
          <w:b/>
          <w:bCs/>
          <w:sz w:val="28"/>
          <w:szCs w:val="28"/>
        </w:rPr>
        <w:t>考核方法</w:t>
      </w:r>
    </w:p>
    <w:p w14:paraId="37E0CA1B">
      <w:pPr>
        <w:spacing w:line="360" w:lineRule="auto"/>
        <w:ind w:firstLine="562" w:firstLineChars="200"/>
        <w:rPr>
          <w:rFonts w:ascii="楷体" w:hAnsi="楷体" w:eastAsia="楷体" w:cs="楷体"/>
          <w:b/>
          <w:bCs/>
          <w:sz w:val="28"/>
          <w:szCs w:val="28"/>
        </w:rPr>
      </w:pPr>
      <w:r>
        <w:rPr>
          <w:rFonts w:hint="eastAsia" w:ascii="楷体" w:hAnsi="楷体" w:eastAsia="楷体" w:cs="楷体"/>
          <w:b/>
          <w:bCs/>
          <w:sz w:val="28"/>
          <w:szCs w:val="28"/>
        </w:rPr>
        <w:t>本</w:t>
      </w:r>
      <w:r>
        <w:rPr>
          <w:rFonts w:hint="eastAsia" w:ascii="楷体" w:hAnsi="楷体" w:eastAsia="楷体" w:cs="楷体"/>
          <w:b/>
          <w:bCs/>
          <w:sz w:val="28"/>
          <w:szCs w:val="28"/>
          <w:lang w:val="en-US" w:eastAsia="zh-CN"/>
        </w:rPr>
        <w:t>设计</w:t>
      </w:r>
      <w:r>
        <w:rPr>
          <w:rFonts w:hint="eastAsia" w:ascii="楷体" w:hAnsi="楷体" w:eastAsia="楷体" w:cs="楷体"/>
          <w:b/>
          <w:bCs/>
          <w:sz w:val="28"/>
          <w:szCs w:val="28"/>
        </w:rPr>
        <w:t>考核要求考生独立完成一项工程设计任务，并以设计报告的形式提交成果。</w:t>
      </w:r>
    </w:p>
    <w:p w14:paraId="45B631C5">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1.设计手册报告字数不少于3000字，正文宋体4号、1.5倍行距；采用百分制，60分为及格线。</w:t>
      </w:r>
    </w:p>
    <w:p w14:paraId="79A022BD">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2.设计主题</w:t>
      </w:r>
    </w:p>
    <w:p w14:paraId="1EE44824">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设计主题（1）城镇雨水管渠的设计</w:t>
      </w:r>
    </w:p>
    <w:p w14:paraId="44C789FD">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设计主题（2）排水泵站的设计</w:t>
      </w:r>
    </w:p>
    <w:p w14:paraId="2A3839D9">
      <w:pPr>
        <w:spacing w:line="360" w:lineRule="auto"/>
        <w:ind w:firstLine="562" w:firstLineChars="200"/>
        <w:rPr>
          <w:rFonts w:ascii="楷体" w:hAnsi="楷体" w:eastAsia="楷体" w:cs="楷体"/>
          <w:b/>
          <w:bCs/>
          <w:sz w:val="28"/>
          <w:szCs w:val="28"/>
        </w:rPr>
      </w:pPr>
      <w:r>
        <w:rPr>
          <w:rFonts w:hint="eastAsia" w:ascii="楷体" w:hAnsi="楷体" w:eastAsia="楷体" w:cs="楷体"/>
          <w:b/>
          <w:bCs/>
          <w:sz w:val="28"/>
          <w:szCs w:val="28"/>
        </w:rPr>
        <w:t>考生必须从以上主题选取一</w:t>
      </w:r>
      <w:r>
        <w:rPr>
          <w:rFonts w:hint="eastAsia" w:ascii="楷体" w:hAnsi="楷体" w:eastAsia="楷体" w:cs="楷体"/>
          <w:b/>
          <w:bCs/>
          <w:sz w:val="28"/>
          <w:szCs w:val="28"/>
          <w:lang w:val="en-US" w:eastAsia="zh-CN"/>
        </w:rPr>
        <w:t>项</w:t>
      </w:r>
      <w:r>
        <w:rPr>
          <w:rFonts w:hint="eastAsia" w:ascii="楷体" w:hAnsi="楷体" w:eastAsia="楷体" w:cs="楷体"/>
          <w:b/>
          <w:bCs/>
          <w:sz w:val="28"/>
          <w:szCs w:val="28"/>
        </w:rPr>
        <w:t>作为</w:t>
      </w:r>
      <w:r>
        <w:rPr>
          <w:rFonts w:hint="eastAsia" w:ascii="楷体" w:hAnsi="楷体" w:eastAsia="楷体" w:cs="楷体"/>
          <w:b/>
          <w:bCs/>
          <w:sz w:val="28"/>
          <w:szCs w:val="28"/>
          <w:lang w:val="en-US" w:eastAsia="zh-CN"/>
        </w:rPr>
        <w:t>设计主题</w:t>
      </w:r>
      <w:r>
        <w:rPr>
          <w:rFonts w:hint="eastAsia" w:ascii="楷体" w:hAnsi="楷体" w:eastAsia="楷体" w:cs="楷体"/>
          <w:b/>
          <w:bCs/>
          <w:sz w:val="28"/>
          <w:szCs w:val="28"/>
        </w:rPr>
        <w:t>。</w:t>
      </w:r>
    </w:p>
    <w:p w14:paraId="4A100775">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3.设计形式：设计过程需包含前期调研、参数确定、水力计算、</w:t>
      </w:r>
      <w:r>
        <w:rPr>
          <w:rFonts w:hint="eastAsia" w:ascii="楷体" w:hAnsi="楷体" w:eastAsia="楷体" w:cs="楷体"/>
          <w:sz w:val="28"/>
          <w:szCs w:val="28"/>
          <w:lang w:val="en-US" w:eastAsia="zh-CN"/>
        </w:rPr>
        <w:t>工程设计</w:t>
      </w:r>
      <w:r>
        <w:rPr>
          <w:rFonts w:hint="eastAsia" w:ascii="楷体" w:hAnsi="楷体" w:eastAsia="楷体" w:cs="楷体"/>
          <w:sz w:val="28"/>
          <w:szCs w:val="28"/>
        </w:rPr>
        <w:t>等环节，体现综合设计与工程应用能力。</w:t>
      </w:r>
    </w:p>
    <w:p w14:paraId="63FAF43C">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4.其它：设计方案报告使用的数据可用表格、图表等直观形式表示。报告中引用的数据、公式或参考资料须在注释中写明出处以及文章和作用，计算过程清晰、结果可信，图表规范。</w:t>
      </w:r>
    </w:p>
    <w:p w14:paraId="2D788EBE">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5.设计方案报告标题按阶梯分类标题进行分类：如一、(一)、1、（1）……</w:t>
      </w:r>
    </w:p>
    <w:p w14:paraId="0508ECEA">
      <w:pPr>
        <w:spacing w:line="360" w:lineRule="auto"/>
        <w:ind w:firstLine="562" w:firstLineChars="200"/>
        <w:rPr>
          <w:b/>
          <w:bCs/>
          <w:sz w:val="28"/>
          <w:szCs w:val="28"/>
        </w:rPr>
      </w:pPr>
      <w:r>
        <w:rPr>
          <w:rFonts w:hint="eastAsia"/>
          <w:b/>
          <w:bCs/>
          <w:sz w:val="28"/>
          <w:szCs w:val="28"/>
        </w:rPr>
        <w:t>五、报告要求</w:t>
      </w:r>
    </w:p>
    <w:p w14:paraId="427570F9">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1.主题鲜明、观点明确。切入点准，角度合适。</w:t>
      </w:r>
    </w:p>
    <w:p w14:paraId="2E7BE17E">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2.逻辑严密、说理清晰。说理要透、案例要实。</w:t>
      </w:r>
    </w:p>
    <w:p w14:paraId="61865ADD">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3.文字准确、格式规范。</w:t>
      </w:r>
    </w:p>
    <w:p w14:paraId="788D28A4">
      <w:pPr>
        <w:rPr>
          <w:sz w:val="24"/>
          <w:szCs w:val="32"/>
        </w:rPr>
      </w:pPr>
      <w:r>
        <w:rPr>
          <w:sz w:val="24"/>
          <w:szCs w:val="32"/>
        </w:rPr>
        <w:br w:type="page"/>
      </w:r>
    </w:p>
    <w:p w14:paraId="6424AB68">
      <w:pPr>
        <w:rPr>
          <w:rFonts w:ascii="黑体" w:hAnsi="黑体" w:eastAsia="黑体" w:cs="黑体"/>
          <w:sz w:val="32"/>
          <w:szCs w:val="40"/>
        </w:rPr>
      </w:pPr>
      <w:r>
        <w:rPr>
          <w:rFonts w:hint="eastAsia" w:ascii="黑体" w:hAnsi="黑体" w:eastAsia="黑体" w:cs="黑体"/>
          <w:sz w:val="32"/>
          <w:szCs w:val="40"/>
        </w:rPr>
        <w:t>范例</w:t>
      </w:r>
    </w:p>
    <w:p w14:paraId="77B99BE0">
      <w:pPr>
        <w:jc w:val="center"/>
        <w:rPr>
          <w:rFonts w:eastAsia="华文新魏"/>
          <w:sz w:val="60"/>
          <w:szCs w:val="32"/>
        </w:rPr>
      </w:pPr>
    </w:p>
    <w:p w14:paraId="5B6374FA">
      <w:pPr>
        <w:jc w:val="center"/>
        <w:rPr>
          <w:rFonts w:eastAsia="华文新魏"/>
          <w:sz w:val="60"/>
          <w:szCs w:val="32"/>
        </w:rPr>
      </w:pPr>
      <w:r>
        <w:rPr>
          <w:rFonts w:hint="eastAsia" w:eastAsia="华文新魏"/>
          <w:sz w:val="60"/>
          <w:szCs w:val="32"/>
        </w:rPr>
        <w:t>河海大学</w:t>
      </w:r>
    </w:p>
    <w:p w14:paraId="118B8CDD">
      <w:pPr>
        <w:jc w:val="center"/>
        <w:rPr>
          <w:rFonts w:ascii="宋体" w:hAnsi="宋体"/>
          <w:b/>
          <w:bCs/>
          <w:sz w:val="36"/>
          <w:szCs w:val="36"/>
        </w:rPr>
      </w:pPr>
      <w:r>
        <w:rPr>
          <w:rFonts w:hint="eastAsia" w:eastAsia="华文新魏"/>
          <w:b/>
          <w:bCs/>
        </w:rPr>
        <w:t xml:space="preserve"> </w:t>
      </w:r>
    </w:p>
    <w:p w14:paraId="31A7BF4C">
      <w:pPr>
        <w:jc w:val="center"/>
        <w:rPr>
          <w:rFonts w:eastAsia="华文新魏"/>
          <w:sz w:val="84"/>
          <w:szCs w:val="84"/>
        </w:rPr>
      </w:pPr>
      <w:r>
        <w:rPr>
          <w:rFonts w:hint="eastAsia" w:eastAsia="华文新魏"/>
          <w:sz w:val="84"/>
          <w:szCs w:val="84"/>
        </w:rPr>
        <w:t>课程设计报告</w:t>
      </w:r>
    </w:p>
    <w:p w14:paraId="0B628541">
      <w:pPr>
        <w:jc w:val="center"/>
        <w:rPr>
          <w:rFonts w:eastAsia="华文新魏"/>
          <w:b/>
          <w:bCs/>
          <w:sz w:val="48"/>
        </w:rPr>
      </w:pPr>
    </w:p>
    <w:p w14:paraId="5D9EBC65">
      <w:pPr>
        <w:jc w:val="center"/>
        <w:rPr>
          <w:rFonts w:eastAsia="华文新魏"/>
          <w:b/>
          <w:bCs/>
          <w:sz w:val="48"/>
        </w:rPr>
      </w:pPr>
    </w:p>
    <w:p w14:paraId="12077C3F">
      <w:pPr>
        <w:spacing w:line="360" w:lineRule="auto"/>
        <w:ind w:left="2166" w:leftChars="460" w:hanging="1200" w:hangingChars="250"/>
        <w:jc w:val="center"/>
        <w:rPr>
          <w:rFonts w:ascii="楷体_GB2312" w:eastAsia="楷体_GB2312"/>
          <w:b/>
          <w:color w:val="0000FF"/>
          <w:sz w:val="36"/>
          <w:szCs w:val="36"/>
        </w:rPr>
      </w:pPr>
      <w:r>
        <w:rPr>
          <w:rFonts w:hint="eastAsia" w:eastAsia="华文新魏"/>
          <w:sz w:val="48"/>
        </w:rPr>
        <w:t>题目</w:t>
      </w:r>
      <w:r>
        <w:rPr>
          <w:rFonts w:hint="eastAsia" w:eastAsia="华文新魏"/>
          <w:b/>
          <w:bCs/>
          <w:sz w:val="36"/>
        </w:rPr>
        <w:t>：</w:t>
      </w:r>
      <w:r>
        <w:rPr>
          <w:rFonts w:hint="eastAsia" w:ascii="楷体_GB2312" w:eastAsia="楷体_GB2312"/>
          <w:b/>
          <w:color w:val="0000FF"/>
          <w:sz w:val="36"/>
          <w:szCs w:val="36"/>
        </w:rPr>
        <w:t>关于某某小区城镇雨水管渠的设计报告</w:t>
      </w:r>
    </w:p>
    <w:tbl>
      <w:tblPr>
        <w:tblStyle w:val="10"/>
        <w:tblW w:w="0" w:type="auto"/>
        <w:jc w:val="center"/>
        <w:tblLayout w:type="fixed"/>
        <w:tblCellMar>
          <w:top w:w="0" w:type="dxa"/>
          <w:left w:w="108" w:type="dxa"/>
          <w:bottom w:w="0" w:type="dxa"/>
          <w:right w:w="108" w:type="dxa"/>
        </w:tblCellMar>
      </w:tblPr>
      <w:tblGrid>
        <w:gridCol w:w="2160"/>
        <w:gridCol w:w="3625"/>
      </w:tblGrid>
      <w:tr w14:paraId="043C8DFB">
        <w:trPr>
          <w:cantSplit/>
          <w:jc w:val="center"/>
        </w:trPr>
        <w:tc>
          <w:tcPr>
            <w:tcW w:w="2160" w:type="dxa"/>
          </w:tcPr>
          <w:p w14:paraId="55584E4E">
            <w:pPr>
              <w:rPr>
                <w:rFonts w:ascii="黑体" w:hAnsi="黑体" w:eastAsia="黑体" w:cs="黑体"/>
                <w:sz w:val="36"/>
                <w:szCs w:val="36"/>
              </w:rPr>
            </w:pPr>
          </w:p>
          <w:p w14:paraId="7E6C7C2D">
            <w:pPr>
              <w:rPr>
                <w:rFonts w:ascii="黑体" w:hAnsi="黑体" w:eastAsia="黑体" w:cs="黑体"/>
                <w:sz w:val="36"/>
                <w:szCs w:val="36"/>
              </w:rPr>
            </w:pPr>
          </w:p>
          <w:p w14:paraId="016326AF">
            <w:pPr>
              <w:rPr>
                <w:rFonts w:ascii="黑体" w:hAnsi="黑体" w:eastAsia="黑体" w:cs="黑体"/>
                <w:sz w:val="36"/>
                <w:szCs w:val="36"/>
              </w:rPr>
            </w:pPr>
            <w:r>
              <w:rPr>
                <w:rFonts w:hint="eastAsia" w:ascii="黑体" w:hAnsi="黑体" w:eastAsia="黑体" w:cs="黑体"/>
                <w:sz w:val="36"/>
                <w:szCs w:val="36"/>
              </w:rPr>
              <w:t>姓    名：</w:t>
            </w:r>
          </w:p>
        </w:tc>
        <w:tc>
          <w:tcPr>
            <w:tcW w:w="3625" w:type="dxa"/>
            <w:tcBorders>
              <w:bottom w:val="single" w:color="auto" w:sz="4" w:space="0"/>
            </w:tcBorders>
          </w:tcPr>
          <w:p w14:paraId="2ADF37C3">
            <w:pPr>
              <w:rPr>
                <w:rFonts w:ascii="华文新魏" w:eastAsia="华文新魏"/>
                <w:b/>
                <w:bCs/>
                <w:sz w:val="36"/>
                <w:szCs w:val="36"/>
              </w:rPr>
            </w:pPr>
          </w:p>
        </w:tc>
      </w:tr>
      <w:tr w14:paraId="3909DCDC">
        <w:tblPrEx>
          <w:tblCellMar>
            <w:top w:w="0" w:type="dxa"/>
            <w:left w:w="108" w:type="dxa"/>
            <w:bottom w:w="0" w:type="dxa"/>
            <w:right w:w="108" w:type="dxa"/>
          </w:tblCellMar>
        </w:tblPrEx>
        <w:trPr>
          <w:cantSplit/>
          <w:jc w:val="center"/>
        </w:trPr>
        <w:tc>
          <w:tcPr>
            <w:tcW w:w="2160" w:type="dxa"/>
          </w:tcPr>
          <w:p w14:paraId="59031512">
            <w:pPr>
              <w:rPr>
                <w:rFonts w:ascii="黑体" w:hAnsi="黑体" w:eastAsia="黑体" w:cs="黑体"/>
                <w:sz w:val="36"/>
                <w:szCs w:val="36"/>
              </w:rPr>
            </w:pPr>
            <w:r>
              <w:rPr>
                <w:rFonts w:hint="eastAsia" w:ascii="黑体" w:hAnsi="黑体" w:eastAsia="黑体" w:cs="黑体"/>
                <w:sz w:val="36"/>
                <w:szCs w:val="36"/>
              </w:rPr>
              <w:t>准考证号：</w:t>
            </w:r>
          </w:p>
        </w:tc>
        <w:tc>
          <w:tcPr>
            <w:tcW w:w="3625" w:type="dxa"/>
            <w:tcBorders>
              <w:top w:val="single" w:color="auto" w:sz="4" w:space="0"/>
              <w:bottom w:val="single" w:color="auto" w:sz="4" w:space="0"/>
            </w:tcBorders>
          </w:tcPr>
          <w:p w14:paraId="23BA3369">
            <w:pPr>
              <w:rPr>
                <w:rFonts w:ascii="华文新魏" w:eastAsia="华文新魏"/>
                <w:b/>
                <w:bCs/>
                <w:sz w:val="36"/>
                <w:szCs w:val="36"/>
              </w:rPr>
            </w:pPr>
          </w:p>
        </w:tc>
      </w:tr>
      <w:tr w14:paraId="510E54D2">
        <w:tblPrEx>
          <w:tblCellMar>
            <w:top w:w="0" w:type="dxa"/>
            <w:left w:w="108" w:type="dxa"/>
            <w:bottom w:w="0" w:type="dxa"/>
            <w:right w:w="108" w:type="dxa"/>
          </w:tblCellMar>
        </w:tblPrEx>
        <w:trPr>
          <w:cantSplit/>
          <w:jc w:val="center"/>
        </w:trPr>
        <w:tc>
          <w:tcPr>
            <w:tcW w:w="2160" w:type="dxa"/>
          </w:tcPr>
          <w:p w14:paraId="4EB9E66A">
            <w:pPr>
              <w:rPr>
                <w:rFonts w:ascii="黑体" w:hAnsi="黑体" w:eastAsia="黑体" w:cs="黑体"/>
                <w:sz w:val="36"/>
                <w:szCs w:val="36"/>
              </w:rPr>
            </w:pPr>
            <w:r>
              <w:rPr>
                <w:rFonts w:hint="eastAsia" w:ascii="黑体" w:hAnsi="黑体" w:eastAsia="黑体" w:cs="黑体"/>
                <w:sz w:val="36"/>
                <w:szCs w:val="36"/>
              </w:rPr>
              <w:t>专    业：</w:t>
            </w:r>
          </w:p>
        </w:tc>
        <w:tc>
          <w:tcPr>
            <w:tcW w:w="3625" w:type="dxa"/>
            <w:tcBorders>
              <w:bottom w:val="single" w:color="auto" w:sz="4" w:space="0"/>
            </w:tcBorders>
          </w:tcPr>
          <w:p w14:paraId="3C3FFFEC">
            <w:pPr>
              <w:rPr>
                <w:rFonts w:ascii="华文新魏" w:eastAsia="华文新魏"/>
                <w:b/>
                <w:bCs/>
                <w:sz w:val="36"/>
                <w:szCs w:val="36"/>
              </w:rPr>
            </w:pPr>
          </w:p>
        </w:tc>
      </w:tr>
      <w:tr w14:paraId="5F2F7423">
        <w:tblPrEx>
          <w:tblCellMar>
            <w:top w:w="0" w:type="dxa"/>
            <w:left w:w="108" w:type="dxa"/>
            <w:bottom w:w="0" w:type="dxa"/>
            <w:right w:w="108" w:type="dxa"/>
          </w:tblCellMar>
        </w:tblPrEx>
        <w:trPr>
          <w:cantSplit/>
          <w:jc w:val="center"/>
        </w:trPr>
        <w:tc>
          <w:tcPr>
            <w:tcW w:w="2160" w:type="dxa"/>
          </w:tcPr>
          <w:p w14:paraId="44518708">
            <w:pPr>
              <w:rPr>
                <w:rFonts w:ascii="黑体" w:hAnsi="黑体" w:eastAsia="黑体" w:cs="黑体"/>
                <w:sz w:val="36"/>
                <w:szCs w:val="36"/>
              </w:rPr>
            </w:pPr>
            <w:r>
              <w:rPr>
                <w:rFonts w:hint="eastAsia" w:ascii="黑体" w:hAnsi="黑体" w:eastAsia="黑体" w:cs="黑体"/>
                <w:sz w:val="36"/>
                <w:szCs w:val="36"/>
              </w:rPr>
              <w:t>实践课程：</w:t>
            </w:r>
          </w:p>
        </w:tc>
        <w:tc>
          <w:tcPr>
            <w:tcW w:w="3625" w:type="dxa"/>
            <w:tcBorders>
              <w:bottom w:val="single" w:color="auto" w:sz="4" w:space="0"/>
            </w:tcBorders>
          </w:tcPr>
          <w:p w14:paraId="71E5F88B">
            <w:pPr>
              <w:rPr>
                <w:rFonts w:ascii="华文新魏" w:eastAsia="华文新魏"/>
                <w:b/>
                <w:bCs/>
                <w:sz w:val="36"/>
                <w:szCs w:val="36"/>
              </w:rPr>
            </w:pPr>
          </w:p>
        </w:tc>
      </w:tr>
    </w:tbl>
    <w:p w14:paraId="32D5DD76">
      <w:pPr>
        <w:ind w:firstLine="2162" w:firstLineChars="600"/>
        <w:rPr>
          <w:rFonts w:ascii="华文新魏" w:eastAsia="华文新魏"/>
          <w:b/>
          <w:bCs/>
          <w:sz w:val="36"/>
          <w:szCs w:val="36"/>
        </w:rPr>
      </w:pPr>
    </w:p>
    <w:p w14:paraId="0DAAA4F0">
      <w:pPr>
        <w:ind w:firstLine="2162" w:firstLineChars="600"/>
        <w:rPr>
          <w:rFonts w:ascii="华文新魏" w:eastAsia="华文新魏"/>
          <w:b/>
          <w:bCs/>
          <w:sz w:val="36"/>
          <w:szCs w:val="36"/>
        </w:rPr>
      </w:pPr>
    </w:p>
    <w:p w14:paraId="5C4A14DB">
      <w:pPr>
        <w:ind w:firstLine="2162" w:firstLineChars="600"/>
        <w:rPr>
          <w:rFonts w:ascii="华文新魏" w:eastAsia="华文新魏"/>
          <w:b/>
          <w:bCs/>
          <w:sz w:val="36"/>
          <w:szCs w:val="36"/>
        </w:rPr>
      </w:pPr>
    </w:p>
    <w:p w14:paraId="7597A485">
      <w:pPr>
        <w:spacing w:line="360" w:lineRule="auto"/>
        <w:ind w:left="1966" w:leftChars="460" w:hanging="1000" w:hangingChars="250"/>
        <w:jc w:val="center"/>
        <w:rPr>
          <w:rFonts w:ascii="黑体" w:hAnsi="黑体" w:eastAsia="黑体" w:cs="黑体"/>
          <w:sz w:val="40"/>
          <w:szCs w:val="40"/>
        </w:rPr>
      </w:pPr>
      <w:r>
        <w:rPr>
          <w:rFonts w:hint="eastAsia" w:ascii="黑体" w:hAnsi="黑体" w:eastAsia="黑体" w:cs="黑体"/>
          <w:sz w:val="40"/>
          <w:szCs w:val="40"/>
          <w:lang w:val="en-US" w:eastAsia="zh-CN"/>
        </w:rPr>
        <w:t xml:space="preserve">  </w:t>
      </w:r>
      <w:bookmarkStart w:id="1" w:name="_GoBack"/>
      <w:bookmarkEnd w:id="1"/>
      <w:r>
        <w:rPr>
          <w:rFonts w:hint="eastAsia" w:ascii="黑体" w:hAnsi="黑体" w:eastAsia="黑体" w:cs="黑体"/>
          <w:sz w:val="40"/>
          <w:szCs w:val="40"/>
        </w:rPr>
        <w:t>年  月  日</w:t>
      </w:r>
    </w:p>
    <w:p w14:paraId="42E93266">
      <w:pPr>
        <w:spacing w:line="360" w:lineRule="auto"/>
        <w:ind w:left="1966" w:leftChars="460" w:hanging="1000" w:hangingChars="250"/>
        <w:jc w:val="center"/>
        <w:rPr>
          <w:rFonts w:ascii="黑体" w:hAnsi="黑体" w:eastAsia="黑体" w:cs="黑体"/>
          <w:sz w:val="40"/>
          <w:szCs w:val="40"/>
        </w:rPr>
      </w:pPr>
    </w:p>
    <w:p w14:paraId="6AF7B609">
      <w:pPr>
        <w:spacing w:line="360" w:lineRule="auto"/>
        <w:ind w:firstLine="480" w:firstLineChars="200"/>
        <w:rPr>
          <w:rFonts w:ascii="宋体" w:hAnsi="宋体"/>
          <w:sz w:val="24"/>
          <w:highlight w:val="yellow"/>
        </w:rPr>
      </w:pPr>
    </w:p>
    <w:p w14:paraId="0180BDAF">
      <w:pPr>
        <w:spacing w:line="360" w:lineRule="auto"/>
        <w:rPr>
          <w:rFonts w:ascii="宋体" w:hAnsi="宋体"/>
          <w:sz w:val="24"/>
        </w:rPr>
      </w:pPr>
      <w:r>
        <w:rPr>
          <w:rFonts w:hint="eastAsia" w:ascii="宋体" w:hAnsi="宋体"/>
          <w:sz w:val="24"/>
        </w:rPr>
        <w:t>设计报告规范性要求：</w:t>
      </w:r>
    </w:p>
    <w:p w14:paraId="63A64576">
      <w:pPr>
        <w:numPr>
          <w:ilvl w:val="0"/>
          <w:numId w:val="3"/>
        </w:numPr>
        <w:spacing w:line="360" w:lineRule="auto"/>
        <w:ind w:firstLine="480" w:firstLineChars="200"/>
        <w:rPr>
          <w:rFonts w:ascii="Times New Roman" w:hAnsi="Times New Roman" w:cs="Times New Roman"/>
          <w:sz w:val="24"/>
        </w:rPr>
      </w:pPr>
      <w:r>
        <w:rPr>
          <w:rFonts w:ascii="Times New Roman" w:hAnsi="Times New Roman" w:cs="Times New Roman"/>
          <w:sz w:val="24"/>
        </w:rPr>
        <w:t>概述</w:t>
      </w:r>
    </w:p>
    <w:p w14:paraId="75C6A5B4">
      <w:pPr>
        <w:spacing w:line="360" w:lineRule="auto"/>
        <w:ind w:firstLine="480" w:firstLineChars="200"/>
        <w:rPr>
          <w:rFonts w:ascii="Times New Roman" w:hAnsi="Times New Roman" w:cs="Times New Roman"/>
          <w:sz w:val="24"/>
        </w:rPr>
      </w:pPr>
      <w:r>
        <w:rPr>
          <w:rFonts w:ascii="Times New Roman" w:hAnsi="Times New Roman" w:cs="Times New Roman"/>
          <w:sz w:val="24"/>
        </w:rPr>
        <w:t>设计依据：列出所有遵循的法律法规、标准规范、基础资料。</w:t>
      </w:r>
    </w:p>
    <w:p w14:paraId="7052443F">
      <w:pPr>
        <w:spacing w:line="360" w:lineRule="auto"/>
        <w:ind w:firstLine="480" w:firstLineChars="200"/>
        <w:rPr>
          <w:rFonts w:ascii="Times New Roman" w:hAnsi="Times New Roman" w:cs="Times New Roman"/>
          <w:sz w:val="24"/>
        </w:rPr>
      </w:pPr>
      <w:r>
        <w:rPr>
          <w:rFonts w:ascii="Times New Roman" w:hAnsi="Times New Roman" w:cs="Times New Roman"/>
          <w:sz w:val="24"/>
        </w:rPr>
        <w:t>法律法规：《中华人民共和国城乡规划法》、《城镇排水与污水处理条例》等。</w:t>
      </w:r>
    </w:p>
    <w:p w14:paraId="449463C0">
      <w:pPr>
        <w:spacing w:line="360" w:lineRule="auto"/>
        <w:ind w:firstLine="480" w:firstLineChars="200"/>
        <w:rPr>
          <w:rFonts w:ascii="Times New Roman" w:hAnsi="Times New Roman" w:cs="Times New Roman"/>
          <w:sz w:val="24"/>
        </w:rPr>
      </w:pPr>
      <w:r>
        <w:rPr>
          <w:rFonts w:ascii="Times New Roman" w:hAnsi="Times New Roman" w:cs="Times New Roman"/>
          <w:sz w:val="24"/>
        </w:rPr>
        <w:t>标准规范：《室外排水设计标准》（GB 50014）、《给水排水工程管道结构设计规范》（GB 50332）、《市政工程勘察规范》等及地方标准。</w:t>
      </w:r>
    </w:p>
    <w:p w14:paraId="1254060A">
      <w:pPr>
        <w:spacing w:line="360" w:lineRule="auto"/>
        <w:ind w:firstLine="480" w:firstLineChars="200"/>
        <w:rPr>
          <w:rFonts w:ascii="Times New Roman" w:hAnsi="Times New Roman" w:cs="Times New Roman"/>
          <w:sz w:val="24"/>
        </w:rPr>
      </w:pPr>
      <w:r>
        <w:rPr>
          <w:rFonts w:ascii="Times New Roman" w:hAnsi="Times New Roman" w:cs="Times New Roman"/>
          <w:sz w:val="24"/>
        </w:rPr>
        <w:t>基础资料：经批复的可行性研究报告、地形图、工程地质勘察报告、市政规划条件、环境影响评价报告等。</w:t>
      </w:r>
    </w:p>
    <w:p w14:paraId="3F67ADC4">
      <w:pPr>
        <w:spacing w:line="360" w:lineRule="auto"/>
        <w:ind w:firstLine="480" w:firstLineChars="200"/>
        <w:rPr>
          <w:rFonts w:ascii="Times New Roman" w:hAnsi="Times New Roman" w:cs="Times New Roman"/>
          <w:sz w:val="24"/>
        </w:rPr>
      </w:pPr>
      <w:r>
        <w:rPr>
          <w:rFonts w:ascii="Times New Roman" w:hAnsi="Times New Roman" w:cs="Times New Roman"/>
          <w:sz w:val="24"/>
        </w:rPr>
        <w:t>工程范围与设计内容：明确本次设计的起止点、服务面积、主要工程内容（如管渠长度、管径、泵站等）。</w:t>
      </w:r>
    </w:p>
    <w:p w14:paraId="74B38148">
      <w:pPr>
        <w:spacing w:line="360" w:lineRule="auto"/>
        <w:ind w:firstLine="480" w:firstLineChars="200"/>
        <w:rPr>
          <w:rFonts w:ascii="Times New Roman" w:hAnsi="Times New Roman" w:cs="Times New Roman"/>
          <w:sz w:val="24"/>
        </w:rPr>
      </w:pPr>
      <w:r>
        <w:rPr>
          <w:rFonts w:ascii="Times New Roman" w:hAnsi="Times New Roman" w:cs="Times New Roman"/>
          <w:sz w:val="24"/>
        </w:rPr>
        <w:t>2. 基础资料分析</w:t>
      </w:r>
    </w:p>
    <w:p w14:paraId="4EEA82BB">
      <w:pPr>
        <w:spacing w:line="360" w:lineRule="auto"/>
        <w:ind w:firstLine="480" w:firstLineChars="200"/>
        <w:rPr>
          <w:rFonts w:ascii="Times New Roman" w:hAnsi="Times New Roman" w:cs="Times New Roman"/>
          <w:sz w:val="24"/>
        </w:rPr>
      </w:pPr>
      <w:r>
        <w:rPr>
          <w:rFonts w:ascii="Times New Roman" w:hAnsi="Times New Roman" w:cs="Times New Roman"/>
          <w:sz w:val="24"/>
        </w:rPr>
        <w:t>自然条件：阐述项目所在地的气候特征，特别是暴雨强度公式（或原始降雨数据）、重现期（P）的选取依据、土壤冻结深度、地下水水位等。</w:t>
      </w:r>
    </w:p>
    <w:p w14:paraId="668BA0DE">
      <w:pPr>
        <w:spacing w:line="360" w:lineRule="auto"/>
        <w:ind w:firstLine="480" w:firstLineChars="200"/>
        <w:rPr>
          <w:rFonts w:ascii="Times New Roman" w:hAnsi="Times New Roman" w:cs="Times New Roman"/>
          <w:sz w:val="24"/>
        </w:rPr>
      </w:pPr>
      <w:r>
        <w:rPr>
          <w:rFonts w:ascii="Times New Roman" w:hAnsi="Times New Roman" w:cs="Times New Roman"/>
          <w:sz w:val="24"/>
        </w:rPr>
        <w:t>现状分析：分析现有排水设施的状况、容量、存在的问题（如内涝点、混接错接等）。</w:t>
      </w:r>
    </w:p>
    <w:p w14:paraId="28118FA1">
      <w:pPr>
        <w:spacing w:line="360" w:lineRule="auto"/>
        <w:ind w:firstLine="480" w:firstLineChars="200"/>
        <w:rPr>
          <w:rFonts w:ascii="Times New Roman" w:hAnsi="Times New Roman" w:cs="Times New Roman"/>
          <w:sz w:val="24"/>
        </w:rPr>
      </w:pPr>
      <w:r>
        <w:rPr>
          <w:rFonts w:ascii="Times New Roman" w:hAnsi="Times New Roman" w:cs="Times New Roman"/>
          <w:sz w:val="24"/>
        </w:rPr>
        <w:t>地形与地质：分析地形坡度、高程变化对管线布置的影响；分析地质条件对管道基础、沟槽开挖和支护形式的选择依据。</w:t>
      </w:r>
    </w:p>
    <w:p w14:paraId="762F6240">
      <w:pPr>
        <w:spacing w:line="360" w:lineRule="auto"/>
        <w:ind w:firstLine="480" w:firstLineChars="200"/>
        <w:rPr>
          <w:rFonts w:ascii="Times New Roman" w:hAnsi="Times New Roman" w:cs="Times New Roman"/>
          <w:sz w:val="24"/>
        </w:rPr>
      </w:pPr>
      <w:r>
        <w:rPr>
          <w:rFonts w:ascii="Times New Roman" w:hAnsi="Times New Roman" w:cs="Times New Roman"/>
          <w:sz w:val="24"/>
        </w:rPr>
        <w:t>3. 设计参数确定（关键技术指标）</w:t>
      </w:r>
    </w:p>
    <w:p w14:paraId="7CC803A4">
      <w:pPr>
        <w:spacing w:line="360" w:lineRule="auto"/>
        <w:ind w:firstLine="480" w:firstLineChars="200"/>
        <w:rPr>
          <w:rFonts w:ascii="Times New Roman" w:hAnsi="Times New Roman" w:cs="Times New Roman"/>
          <w:sz w:val="24"/>
        </w:rPr>
      </w:pPr>
      <w:r>
        <w:rPr>
          <w:rFonts w:ascii="Times New Roman" w:hAnsi="Times New Roman" w:cs="Times New Roman"/>
          <w:sz w:val="24"/>
        </w:rPr>
        <w:t>设计重现期（P）：必须明确选取值（如P=3年、5年），并说明依据（根据GB 50014中不同区域的重要性等级规定）。</w:t>
      </w:r>
    </w:p>
    <w:p w14:paraId="2C03E39E">
      <w:pPr>
        <w:spacing w:line="360" w:lineRule="auto"/>
        <w:ind w:firstLine="480" w:firstLineChars="200"/>
        <w:rPr>
          <w:rFonts w:ascii="Times New Roman" w:hAnsi="Times New Roman" w:cs="Times New Roman"/>
          <w:sz w:val="24"/>
        </w:rPr>
      </w:pPr>
      <w:r>
        <w:rPr>
          <w:rFonts w:ascii="Times New Roman" w:hAnsi="Times New Roman" w:cs="Times New Roman"/>
          <w:sz w:val="24"/>
        </w:rPr>
        <w:t>径流系数（ψ）：列出服务区内各类用地类型（屋面、道路、绿地等）的面积和综合径流系数的计算过程。</w:t>
      </w:r>
    </w:p>
    <w:p w14:paraId="1B68E66E">
      <w:pPr>
        <w:spacing w:line="360" w:lineRule="auto"/>
        <w:ind w:firstLine="480" w:firstLineChars="200"/>
        <w:rPr>
          <w:rFonts w:ascii="Times New Roman" w:hAnsi="Times New Roman" w:cs="Times New Roman"/>
          <w:sz w:val="24"/>
        </w:rPr>
      </w:pPr>
      <w:r>
        <w:rPr>
          <w:rFonts w:ascii="Times New Roman" w:hAnsi="Times New Roman" w:cs="Times New Roman"/>
          <w:sz w:val="24"/>
        </w:rPr>
        <w:t>地面集水时间（t1）：说明计算或取值依据。</w:t>
      </w:r>
    </w:p>
    <w:p w14:paraId="06039106">
      <w:pPr>
        <w:spacing w:line="360" w:lineRule="auto"/>
        <w:ind w:firstLine="480" w:firstLineChars="200"/>
        <w:rPr>
          <w:rFonts w:ascii="Times New Roman" w:hAnsi="Times New Roman" w:cs="Times New Roman"/>
          <w:sz w:val="24"/>
        </w:rPr>
      </w:pPr>
      <w:r>
        <w:rPr>
          <w:rFonts w:ascii="Times New Roman" w:hAnsi="Times New Roman" w:cs="Times New Roman"/>
          <w:sz w:val="24"/>
        </w:rPr>
        <w:t>管道粗糙系数（n）：根据所选管材（如混凝土管、HDPE管）明确取值。</w:t>
      </w:r>
    </w:p>
    <w:p w14:paraId="3120B350">
      <w:pPr>
        <w:spacing w:line="360" w:lineRule="auto"/>
        <w:ind w:firstLine="480" w:firstLineChars="200"/>
        <w:rPr>
          <w:rFonts w:ascii="Times New Roman" w:hAnsi="Times New Roman" w:cs="Times New Roman"/>
          <w:sz w:val="24"/>
        </w:rPr>
      </w:pPr>
      <w:r>
        <w:rPr>
          <w:rFonts w:ascii="Times New Roman" w:hAnsi="Times New Roman" w:cs="Times New Roman"/>
          <w:sz w:val="24"/>
        </w:rPr>
        <w:t>设计流速：必须论证其满足最小流速（防淤积，一般≥0.75m/s）和最大流速（防冲刷，金属管≤10m/s，非金属管≤5m/s） 的要求。</w:t>
      </w:r>
    </w:p>
    <w:p w14:paraId="1E0D8EAA">
      <w:pPr>
        <w:spacing w:line="360" w:lineRule="auto"/>
        <w:ind w:firstLine="480" w:firstLineChars="200"/>
        <w:rPr>
          <w:rFonts w:ascii="Times New Roman" w:hAnsi="Times New Roman" w:cs="Times New Roman"/>
          <w:sz w:val="24"/>
        </w:rPr>
      </w:pPr>
      <w:r>
        <w:rPr>
          <w:rFonts w:ascii="Times New Roman" w:hAnsi="Times New Roman" w:cs="Times New Roman"/>
          <w:sz w:val="24"/>
        </w:rPr>
        <w:t>4.水力计算</w:t>
      </w:r>
    </w:p>
    <w:p w14:paraId="3AE4EC72">
      <w:pPr>
        <w:spacing w:line="360" w:lineRule="auto"/>
        <w:ind w:firstLine="480" w:firstLineChars="200"/>
        <w:rPr>
          <w:rFonts w:ascii="Times New Roman" w:hAnsi="Times New Roman" w:cs="Times New Roman"/>
          <w:sz w:val="24"/>
        </w:rPr>
      </w:pPr>
      <w:r>
        <w:rPr>
          <w:rFonts w:ascii="Times New Roman" w:hAnsi="Times New Roman" w:cs="Times New Roman"/>
          <w:sz w:val="24"/>
        </w:rPr>
        <w:t>计算方法：明确采用的计算方法（如推理公式法、数学模型法等）。</w:t>
      </w:r>
    </w:p>
    <w:p w14:paraId="378CD2A1">
      <w:pPr>
        <w:spacing w:line="360" w:lineRule="auto"/>
        <w:ind w:firstLine="480" w:firstLineChars="200"/>
        <w:rPr>
          <w:rFonts w:ascii="Times New Roman" w:hAnsi="Times New Roman" w:cs="Times New Roman"/>
          <w:sz w:val="24"/>
        </w:rPr>
      </w:pPr>
      <w:r>
        <w:rPr>
          <w:rFonts w:ascii="Times New Roman" w:hAnsi="Times New Roman" w:cs="Times New Roman"/>
          <w:sz w:val="24"/>
        </w:rPr>
        <w:t>计算过程：提供详细的计算过程，包括排水流域划分图、各管段设计流量计算、管径（D）、坡度（i）、埋深（h）、流速（v）的确定。计算书应作为报告独立附件。</w:t>
      </w:r>
    </w:p>
    <w:p w14:paraId="67192BB3">
      <w:pPr>
        <w:spacing w:line="360" w:lineRule="auto"/>
        <w:ind w:firstLine="480" w:firstLineChars="200"/>
        <w:rPr>
          <w:rFonts w:ascii="Times New Roman" w:hAnsi="Times New Roman" w:cs="Times New Roman"/>
          <w:sz w:val="24"/>
        </w:rPr>
      </w:pPr>
      <w:r>
        <w:rPr>
          <w:rFonts w:ascii="Times New Roman" w:hAnsi="Times New Roman" w:cs="Times New Roman"/>
          <w:sz w:val="24"/>
        </w:rPr>
        <w:t>系统衔接：说明管渠系统上下游的衔接高程关系，确保水流顺畅。</w:t>
      </w:r>
    </w:p>
    <w:p w14:paraId="32B7BD39">
      <w:pPr>
        <w:spacing w:line="360" w:lineRule="auto"/>
        <w:ind w:firstLine="480" w:firstLineChars="200"/>
        <w:rPr>
          <w:rFonts w:ascii="Times New Roman" w:hAnsi="Times New Roman" w:cs="Times New Roman"/>
          <w:sz w:val="24"/>
        </w:rPr>
      </w:pPr>
      <w:r>
        <w:rPr>
          <w:rFonts w:ascii="Times New Roman" w:hAnsi="Times New Roman" w:cs="Times New Roman"/>
          <w:sz w:val="24"/>
        </w:rPr>
        <w:t>5.管材与接口选择</w:t>
      </w:r>
    </w:p>
    <w:p w14:paraId="492CEB91">
      <w:pPr>
        <w:spacing w:line="360" w:lineRule="auto"/>
        <w:ind w:firstLine="480" w:firstLineChars="200"/>
        <w:rPr>
          <w:rFonts w:ascii="Times New Roman" w:hAnsi="Times New Roman" w:cs="Times New Roman"/>
          <w:sz w:val="24"/>
        </w:rPr>
      </w:pPr>
      <w:r>
        <w:rPr>
          <w:rFonts w:ascii="Times New Roman" w:hAnsi="Times New Roman" w:cs="Times New Roman"/>
          <w:sz w:val="24"/>
        </w:rPr>
        <w:t>管材选择：从耐腐蚀性、承压能力、施工难度、造价、使用寿命等方面进行多方案比选，明确推荐管材类型及规格。</w:t>
      </w:r>
    </w:p>
    <w:p w14:paraId="447B7A5C">
      <w:pPr>
        <w:spacing w:line="360" w:lineRule="auto"/>
        <w:ind w:firstLine="480" w:firstLineChars="200"/>
        <w:rPr>
          <w:rFonts w:ascii="Times New Roman" w:hAnsi="Times New Roman" w:cs="Times New Roman"/>
          <w:sz w:val="24"/>
        </w:rPr>
      </w:pPr>
      <w:r>
        <w:rPr>
          <w:rFonts w:ascii="Times New Roman" w:hAnsi="Times New Roman" w:cs="Times New Roman"/>
          <w:sz w:val="24"/>
        </w:rPr>
        <w:t>接口形式：明确管道接口形式（如承插式、钢承口、卡箍式等）及密封要求。</w:t>
      </w:r>
    </w:p>
    <w:p w14:paraId="0980F5A0">
      <w:pPr>
        <w:spacing w:line="360" w:lineRule="auto"/>
        <w:ind w:firstLine="480" w:firstLineChars="200"/>
        <w:rPr>
          <w:rFonts w:ascii="Times New Roman" w:hAnsi="Times New Roman" w:cs="Times New Roman"/>
          <w:sz w:val="24"/>
        </w:rPr>
      </w:pPr>
      <w:r>
        <w:rPr>
          <w:rFonts w:ascii="Times New Roman" w:hAnsi="Times New Roman" w:cs="Times New Roman"/>
          <w:sz w:val="24"/>
        </w:rPr>
        <w:t>6. 管道基础及沟槽支护</w:t>
      </w:r>
    </w:p>
    <w:p w14:paraId="5B7E27A0">
      <w:pPr>
        <w:spacing w:line="360" w:lineRule="auto"/>
        <w:ind w:firstLine="480" w:firstLineChars="200"/>
        <w:rPr>
          <w:rFonts w:ascii="Times New Roman" w:hAnsi="Times New Roman" w:cs="Times New Roman"/>
          <w:sz w:val="24"/>
        </w:rPr>
      </w:pPr>
      <w:r>
        <w:rPr>
          <w:rFonts w:ascii="Times New Roman" w:hAnsi="Times New Roman" w:cs="Times New Roman"/>
          <w:sz w:val="24"/>
        </w:rPr>
        <w:t>管道基础：根据地质勘察报告，确定管道基础形式（如土弧基础、砂石基础、混凝土基础）。</w:t>
      </w:r>
    </w:p>
    <w:p w14:paraId="44362EA4">
      <w:pPr>
        <w:spacing w:line="360" w:lineRule="auto"/>
        <w:ind w:firstLine="480" w:firstLineChars="200"/>
        <w:rPr>
          <w:rFonts w:ascii="Times New Roman" w:hAnsi="Times New Roman" w:cs="Times New Roman"/>
          <w:sz w:val="24"/>
        </w:rPr>
      </w:pPr>
      <w:r>
        <w:rPr>
          <w:rFonts w:ascii="Times New Roman" w:hAnsi="Times New Roman" w:cs="Times New Roman"/>
          <w:sz w:val="24"/>
        </w:rPr>
        <w:t>沟槽支护：对开挖深度较大或地质条件较差的地段，提出沟槽支护方案（如放坡开挖、钢板桩支护等），并需符合基坑支护相关规范。</w:t>
      </w:r>
    </w:p>
    <w:p w14:paraId="6BA44D61">
      <w:pPr>
        <w:rPr>
          <w:rFonts w:ascii="楷体_GB2312" w:eastAsia="楷体_GB2312"/>
          <w:b/>
          <w:color w:val="0000FF"/>
          <w:sz w:val="36"/>
          <w:szCs w:val="36"/>
        </w:rPr>
      </w:pPr>
    </w:p>
    <w:p w14:paraId="68D43BDD">
      <w:pPr>
        <w:spacing w:line="360" w:lineRule="auto"/>
        <w:ind w:firstLine="480" w:firstLineChars="200"/>
        <w:rPr>
          <w:rFonts w:ascii="宋体" w:hAnsi="宋体"/>
          <w:sz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77BA6">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89588C">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589588C">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046D7"/>
    <w:multiLevelType w:val="singleLevel"/>
    <w:tmpl w:val="842046D7"/>
    <w:lvl w:ilvl="0" w:tentative="0">
      <w:start w:val="4"/>
      <w:numFmt w:val="chineseCounting"/>
      <w:suff w:val="nothing"/>
      <w:lvlText w:val="%1、"/>
      <w:lvlJc w:val="left"/>
      <w:rPr>
        <w:rFonts w:hint="eastAsia"/>
      </w:rPr>
    </w:lvl>
  </w:abstractNum>
  <w:abstractNum w:abstractNumId="1">
    <w:nsid w:val="9C4E4D0F"/>
    <w:multiLevelType w:val="singleLevel"/>
    <w:tmpl w:val="9C4E4D0F"/>
    <w:lvl w:ilvl="0" w:tentative="0">
      <w:start w:val="1"/>
      <w:numFmt w:val="decimal"/>
      <w:suff w:val="space"/>
      <w:lvlText w:val="%1."/>
      <w:lvlJc w:val="left"/>
    </w:lvl>
  </w:abstractNum>
  <w:abstractNum w:abstractNumId="2">
    <w:nsid w:val="43326069"/>
    <w:multiLevelType w:val="singleLevel"/>
    <w:tmpl w:val="43326069"/>
    <w:lvl w:ilvl="0" w:tentative="0">
      <w:start w:val="3"/>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363B32"/>
    <w:rsid w:val="000D2EF7"/>
    <w:rsid w:val="0015697D"/>
    <w:rsid w:val="001733AB"/>
    <w:rsid w:val="002020DA"/>
    <w:rsid w:val="002A4DF0"/>
    <w:rsid w:val="00420099"/>
    <w:rsid w:val="00423421"/>
    <w:rsid w:val="004721B1"/>
    <w:rsid w:val="00493F3D"/>
    <w:rsid w:val="004F3B48"/>
    <w:rsid w:val="005B300C"/>
    <w:rsid w:val="005B785C"/>
    <w:rsid w:val="00606865"/>
    <w:rsid w:val="006372DE"/>
    <w:rsid w:val="006553B6"/>
    <w:rsid w:val="0066183C"/>
    <w:rsid w:val="006841B0"/>
    <w:rsid w:val="006C7B1C"/>
    <w:rsid w:val="00711A74"/>
    <w:rsid w:val="00731992"/>
    <w:rsid w:val="007712AD"/>
    <w:rsid w:val="007B7981"/>
    <w:rsid w:val="007C58DF"/>
    <w:rsid w:val="007D7A6A"/>
    <w:rsid w:val="00930B19"/>
    <w:rsid w:val="00A00977"/>
    <w:rsid w:val="00A87A17"/>
    <w:rsid w:val="00B22269"/>
    <w:rsid w:val="00BE3A42"/>
    <w:rsid w:val="00C41D94"/>
    <w:rsid w:val="00C52CD8"/>
    <w:rsid w:val="00C90FC1"/>
    <w:rsid w:val="00CC60E2"/>
    <w:rsid w:val="00D97401"/>
    <w:rsid w:val="00EA395B"/>
    <w:rsid w:val="00EA595F"/>
    <w:rsid w:val="00ED4EFE"/>
    <w:rsid w:val="00F16F7A"/>
    <w:rsid w:val="00F81116"/>
    <w:rsid w:val="00FA7DBC"/>
    <w:rsid w:val="046E570C"/>
    <w:rsid w:val="093635D4"/>
    <w:rsid w:val="0C660B78"/>
    <w:rsid w:val="0CC21526"/>
    <w:rsid w:val="0CFD3157"/>
    <w:rsid w:val="0FCF604A"/>
    <w:rsid w:val="12080872"/>
    <w:rsid w:val="12A548BC"/>
    <w:rsid w:val="18585F5C"/>
    <w:rsid w:val="1D736045"/>
    <w:rsid w:val="1D8B67FB"/>
    <w:rsid w:val="202F346E"/>
    <w:rsid w:val="25C43F3D"/>
    <w:rsid w:val="277A68D1"/>
    <w:rsid w:val="28C41452"/>
    <w:rsid w:val="2A321C42"/>
    <w:rsid w:val="2DE6137F"/>
    <w:rsid w:val="41E42350"/>
    <w:rsid w:val="42EA4BD5"/>
    <w:rsid w:val="44703ED1"/>
    <w:rsid w:val="485F6737"/>
    <w:rsid w:val="49383A30"/>
    <w:rsid w:val="4A3C5CA2"/>
    <w:rsid w:val="4BEF5B77"/>
    <w:rsid w:val="52F54E98"/>
    <w:rsid w:val="55531949"/>
    <w:rsid w:val="569B3A4B"/>
    <w:rsid w:val="59363B32"/>
    <w:rsid w:val="5B317729"/>
    <w:rsid w:val="61D2367E"/>
    <w:rsid w:val="625B0E6A"/>
    <w:rsid w:val="67965DF8"/>
    <w:rsid w:val="69C064B2"/>
    <w:rsid w:val="70EE7DA8"/>
    <w:rsid w:val="7C055914"/>
    <w:rsid w:val="7CC64DAD"/>
    <w:rsid w:val="7CFB5D27"/>
    <w:rsid w:val="7D690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3">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Balloon Text"/>
    <w:basedOn w:val="1"/>
    <w:link w:val="20"/>
    <w:qFormat/>
    <w:uiPriority w:val="0"/>
    <w:rPr>
      <w:sz w:val="18"/>
      <w:szCs w:val="18"/>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rPr>
      <w:sz w:val="24"/>
    </w:rPr>
  </w:style>
  <w:style w:type="paragraph" w:styleId="9">
    <w:name w:val="annotation subject"/>
    <w:basedOn w:val="4"/>
    <w:next w:val="4"/>
    <w:link w:val="19"/>
    <w:qFormat/>
    <w:uiPriority w:val="0"/>
    <w:rPr>
      <w:b/>
      <w:bCs/>
    </w:rPr>
  </w:style>
  <w:style w:type="character" w:styleId="12">
    <w:name w:val="Strong"/>
    <w:basedOn w:val="11"/>
    <w:qFormat/>
    <w:uiPriority w:val="0"/>
    <w:rPr>
      <w:b/>
    </w:rPr>
  </w:style>
  <w:style w:type="character" w:styleId="13">
    <w:name w:val="HTML Code"/>
    <w:basedOn w:val="11"/>
    <w:qFormat/>
    <w:uiPriority w:val="0"/>
    <w:rPr>
      <w:rFonts w:ascii="Courier New" w:hAnsi="Courier New"/>
      <w:sz w:val="20"/>
    </w:rPr>
  </w:style>
  <w:style w:type="character" w:styleId="14">
    <w:name w:val="annotation reference"/>
    <w:basedOn w:val="11"/>
    <w:qFormat/>
    <w:uiPriority w:val="0"/>
    <w:rPr>
      <w:sz w:val="21"/>
      <w:szCs w:val="21"/>
    </w:rPr>
  </w:style>
  <w:style w:type="paragraph" w:customStyle="1" w:styleId="15">
    <w:name w:val="p0"/>
    <w:basedOn w:val="1"/>
    <w:qFormat/>
    <w:uiPriority w:val="0"/>
    <w:pPr>
      <w:widowControl/>
    </w:pPr>
    <w:rPr>
      <w:kern w:val="0"/>
      <w:szCs w:val="21"/>
    </w:rPr>
  </w:style>
  <w:style w:type="character" w:customStyle="1" w:styleId="16">
    <w:name w:val="页眉 字符"/>
    <w:basedOn w:val="11"/>
    <w:link w:val="7"/>
    <w:qFormat/>
    <w:uiPriority w:val="0"/>
    <w:rPr>
      <w:kern w:val="2"/>
      <w:sz w:val="18"/>
      <w:szCs w:val="18"/>
    </w:rPr>
  </w:style>
  <w:style w:type="character" w:customStyle="1" w:styleId="17">
    <w:name w:val="页脚 字符"/>
    <w:basedOn w:val="11"/>
    <w:link w:val="6"/>
    <w:qFormat/>
    <w:uiPriority w:val="0"/>
    <w:rPr>
      <w:kern w:val="2"/>
      <w:sz w:val="18"/>
      <w:szCs w:val="18"/>
    </w:rPr>
  </w:style>
  <w:style w:type="character" w:customStyle="1" w:styleId="18">
    <w:name w:val="批注文字 字符"/>
    <w:basedOn w:val="11"/>
    <w:link w:val="4"/>
    <w:qFormat/>
    <w:uiPriority w:val="0"/>
    <w:rPr>
      <w:kern w:val="2"/>
      <w:sz w:val="21"/>
      <w:szCs w:val="24"/>
    </w:rPr>
  </w:style>
  <w:style w:type="character" w:customStyle="1" w:styleId="19">
    <w:name w:val="批注主题 字符"/>
    <w:basedOn w:val="18"/>
    <w:link w:val="9"/>
    <w:qFormat/>
    <w:uiPriority w:val="0"/>
    <w:rPr>
      <w:b/>
      <w:bCs/>
      <w:kern w:val="2"/>
      <w:sz w:val="21"/>
      <w:szCs w:val="24"/>
    </w:rPr>
  </w:style>
  <w:style w:type="character" w:customStyle="1" w:styleId="20">
    <w:name w:val="批注框文本 字符"/>
    <w:basedOn w:val="11"/>
    <w:link w:val="5"/>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2055</Words>
  <Characters>2139</Characters>
  <Lines>16</Lines>
  <Paragraphs>4</Paragraphs>
  <TotalTime>14</TotalTime>
  <ScaleCrop>false</ScaleCrop>
  <LinksUpToDate>false</LinksUpToDate>
  <CharactersWithSpaces>2165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2025-01-19T08:44:00Z</dcterms:created>
  <dc:creator>李轮</dc:creator>
  <cp:lastModifiedBy>程樊启</cp:lastModifiedBy>
  <dcterms:modified xsi:type="dcterms:W3CDTF">2025-12-23T02:22:27Z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EB3E2D67CB4D4C8BBA316AB8DE8E2A0C_13</vt:lpwstr>
  </property>
  <property fmtid="{D5CDD505-2E9C-101B-9397-08002B2CF9AE}" pid="4" name="KSOTemplateDocerSaveRecord">
    <vt:lpwstr>eyJoZGlkIjoiYTNjZThkMzMxOTJmNjdiN2UwZTg3NmNhZDk0M2RiMTIiLCJ1c2VySWQiOiI2ODMxMDkwNDAifQ==</vt:lpwstr>
  </property>
</Properties>
</file>